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B2F98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p>
    <w:p w14:paraId="4EAAD6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简体" w:cs="Times New Roman"/>
          <w:color w:val="000000" w:themeColor="text1"/>
          <w:sz w:val="44"/>
          <w:szCs w:val="44"/>
          <w14:textFill>
            <w14:solidFill>
              <w14:schemeClr w14:val="tx1"/>
            </w14:solidFill>
          </w14:textFill>
        </w:rPr>
      </w:pPr>
      <w:r>
        <w:rPr>
          <w:rFonts w:hint="default" w:ascii="Times New Roman" w:hAnsi="Times New Roman" w:eastAsia="方正小标宋简体" w:cs="Times New Roman"/>
          <w:color w:val="000000" w:themeColor="text1"/>
          <w:sz w:val="44"/>
          <w:szCs w:val="44"/>
          <w:lang w:eastAsia="zh-CN"/>
          <w14:textFill>
            <w14:solidFill>
              <w14:schemeClr w14:val="tx1"/>
            </w14:solidFill>
          </w14:textFill>
        </w:rPr>
        <w:t>陵川县</w:t>
      </w: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t>保护和</w:t>
      </w:r>
      <w:r>
        <w:rPr>
          <w:rFonts w:hint="default" w:ascii="Times New Roman" w:hAnsi="Times New Roman" w:eastAsia="方正小标宋简体" w:cs="Times New Roman"/>
          <w:color w:val="000000" w:themeColor="text1"/>
          <w:sz w:val="44"/>
          <w:szCs w:val="44"/>
          <w14:textFill>
            <w14:solidFill>
              <w14:schemeClr w14:val="tx1"/>
            </w14:solidFill>
          </w14:textFill>
        </w:rPr>
        <w:t>促进传统工艺美术发展办法</w:t>
      </w:r>
    </w:p>
    <w:p w14:paraId="691BF1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方正小标宋简体" w:cs="Times New Roman"/>
          <w:color w:val="000000" w:themeColor="text1"/>
          <w:sz w:val="44"/>
          <w:szCs w:val="44"/>
          <w:lang w:eastAsia="zh-CN"/>
          <w14:textFill>
            <w14:solidFill>
              <w14:schemeClr w14:val="tx1"/>
            </w14:solidFill>
          </w14:textFill>
        </w:rPr>
      </w:pPr>
      <w:r>
        <w:rPr>
          <w:rFonts w:hint="eastAsia" w:ascii="Times New Roman" w:hAnsi="Times New Roman" w:eastAsia="方正小标宋简体" w:cs="Times New Roman"/>
          <w:color w:val="000000" w:themeColor="text1"/>
          <w:sz w:val="44"/>
          <w:szCs w:val="44"/>
          <w:lang w:eastAsia="zh-CN"/>
          <w14:textFill>
            <w14:solidFill>
              <w14:schemeClr w14:val="tx1"/>
            </w14:solidFill>
          </w14:textFill>
        </w:rPr>
        <w:t>（</w:t>
      </w:r>
      <w:r>
        <w:rPr>
          <w:rFonts w:hint="eastAsia" w:ascii="Times New Roman" w:hAnsi="Times New Roman" w:eastAsia="方正小标宋简体" w:cs="Times New Roman"/>
          <w:color w:val="000000" w:themeColor="text1"/>
          <w:sz w:val="44"/>
          <w:szCs w:val="44"/>
          <w:lang w:val="en-US" w:eastAsia="zh-CN"/>
          <w14:textFill>
            <w14:solidFill>
              <w14:schemeClr w14:val="tx1"/>
            </w14:solidFill>
          </w14:textFill>
        </w:rPr>
        <w:t>征求意见稿</w:t>
      </w:r>
      <w:r>
        <w:rPr>
          <w:rFonts w:hint="eastAsia" w:ascii="Times New Roman" w:hAnsi="Times New Roman" w:eastAsia="方正小标宋简体" w:cs="Times New Roman"/>
          <w:color w:val="000000" w:themeColor="text1"/>
          <w:sz w:val="44"/>
          <w:szCs w:val="44"/>
          <w:lang w:eastAsia="zh-CN"/>
          <w14:textFill>
            <w14:solidFill>
              <w14:schemeClr w14:val="tx1"/>
            </w14:solidFill>
          </w14:textFill>
        </w:rPr>
        <w:t>）</w:t>
      </w:r>
    </w:p>
    <w:p w14:paraId="28E6D92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p>
    <w:p w14:paraId="311D5C2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b/>
          <w:bCs/>
          <w:color w:val="000000" w:themeColor="text1"/>
          <w:sz w:val="32"/>
          <w:szCs w:val="32"/>
          <w14:textFill>
            <w14:solidFill>
              <w14:schemeClr w14:val="tx1"/>
            </w14:solidFill>
          </w14:textFill>
        </w:rPr>
        <w:t>第</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一</w:t>
      </w:r>
      <w:r>
        <w:rPr>
          <w:rFonts w:hint="default" w:ascii="Times New Roman" w:hAnsi="Times New Roman" w:eastAsia="楷体_GB2312" w:cs="Times New Roman"/>
          <w:b/>
          <w:bCs/>
          <w:color w:val="000000" w:themeColor="text1"/>
          <w:sz w:val="32"/>
          <w:szCs w:val="32"/>
          <w14:textFill>
            <w14:solidFill>
              <w14:schemeClr w14:val="tx1"/>
            </w14:solidFill>
          </w14:textFill>
        </w:rPr>
        <w:t>条</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为传承和弘扬民族优秀文化</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保护和发展传统工艺美术，促进工艺美术事业创新与繁荣，根据《山西省人民政府办公厅关于印发山西省振兴传统工艺美术行业工作方案的通知》</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晋政办发〔2020〕21号</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《晋城市城镇集体工业联合社</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晋城市财政局关于印发晋城市工艺美术产业发展专项</w:t>
      </w:r>
      <w:bookmarkStart w:id="0" w:name="_GoBack"/>
      <w:bookmarkEnd w:id="0"/>
      <w:r>
        <w:rPr>
          <w:rFonts w:hint="default" w:ascii="Times New Roman" w:hAnsi="Times New Roman" w:eastAsia="仿宋_GB2312" w:cs="Times New Roman"/>
          <w:color w:val="000000" w:themeColor="text1"/>
          <w:sz w:val="32"/>
          <w:szCs w:val="32"/>
          <w14:textFill>
            <w14:solidFill>
              <w14:schemeClr w14:val="tx1"/>
            </w14:solidFill>
          </w14:textFill>
        </w:rPr>
        <w:t>资金管理暂行办法的通知》</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（晋市工联</w:t>
      </w: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8号）</w:t>
      </w:r>
      <w:r>
        <w:rPr>
          <w:rFonts w:hint="default" w:ascii="Times New Roman" w:hAnsi="Times New Roman" w:eastAsia="仿宋_GB2312" w:cs="Times New Roman"/>
          <w:color w:val="000000" w:themeColor="text1"/>
          <w:sz w:val="32"/>
          <w:szCs w:val="32"/>
          <w14:textFill>
            <w14:solidFill>
              <w14:schemeClr w14:val="tx1"/>
            </w14:solidFill>
          </w14:textFill>
        </w:rPr>
        <w:t>《晋城市工艺美术产业发展专项资金管理暂行办法实施细则》等文件规定，结合我</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县</w:t>
      </w:r>
      <w:r>
        <w:rPr>
          <w:rFonts w:hint="default" w:ascii="Times New Roman" w:hAnsi="Times New Roman" w:eastAsia="仿宋_GB2312" w:cs="Times New Roman"/>
          <w:color w:val="000000" w:themeColor="text1"/>
          <w:sz w:val="32"/>
          <w:szCs w:val="32"/>
          <w14:textFill>
            <w14:solidFill>
              <w14:schemeClr w14:val="tx1"/>
            </w14:solidFill>
          </w14:textFill>
        </w:rPr>
        <w:t>实际，制定本办法。</w:t>
      </w:r>
    </w:p>
    <w:p w14:paraId="51877E0C">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楷体_GB2312" w:cs="Times New Roman"/>
          <w:b/>
          <w:bCs/>
          <w:color w:val="000000" w:themeColor="text1"/>
          <w:sz w:val="32"/>
          <w:szCs w:val="32"/>
          <w14:textFill>
            <w14:solidFill>
              <w14:schemeClr w14:val="tx1"/>
            </w14:solidFill>
          </w14:textFill>
        </w:rPr>
        <w:t>第二条</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本办法适用于我</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县</w:t>
      </w:r>
      <w:r>
        <w:rPr>
          <w:rFonts w:hint="default" w:ascii="Times New Roman" w:hAnsi="Times New Roman" w:eastAsia="仿宋_GB2312" w:cs="Times New Roman"/>
          <w:color w:val="000000" w:themeColor="text1"/>
          <w:sz w:val="32"/>
          <w:szCs w:val="32"/>
          <w14:textFill>
            <w14:solidFill>
              <w14:schemeClr w14:val="tx1"/>
            </w14:solidFill>
          </w14:textFill>
        </w:rPr>
        <w:t>行政区域内传统工艺美术保护传承、评审认定、人才培养、发展促进及其监督管理等活动</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0F59D35B">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b/>
          <w:bCs/>
          <w:color w:val="000000" w:themeColor="text1"/>
          <w:sz w:val="32"/>
          <w:szCs w:val="32"/>
          <w14:textFill>
            <w14:solidFill>
              <w14:schemeClr w14:val="tx1"/>
            </w14:solidFill>
          </w14:textFill>
        </w:rPr>
        <w:t>第三条</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本办法所称传统工艺美术</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是指历史悠久、技艺精湛、世代相传，以传统工艺和制作技艺流程创作生产，主要采用天然或者传统原材料制作，具有鲜明的民族风格和地方特色，在国内外享有声誉的手工艺品种和技艺。</w:t>
      </w:r>
    </w:p>
    <w:p w14:paraId="488FCD83">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b/>
          <w:bCs/>
          <w:color w:val="000000" w:themeColor="text1"/>
          <w:sz w:val="32"/>
          <w:szCs w:val="32"/>
          <w14:textFill>
            <w14:solidFill>
              <w14:schemeClr w14:val="tx1"/>
            </w14:solidFill>
          </w14:textFill>
        </w:rPr>
        <w:t>第四条</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传统工艺美术保护发展要围绕我</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县</w:t>
      </w:r>
      <w:r>
        <w:rPr>
          <w:rFonts w:hint="default" w:ascii="Times New Roman" w:hAnsi="Times New Roman" w:eastAsia="仿宋_GB2312" w:cs="Times New Roman"/>
          <w:color w:val="000000" w:themeColor="text1"/>
          <w:sz w:val="32"/>
          <w:szCs w:val="32"/>
          <w14:textFill>
            <w14:solidFill>
              <w14:schemeClr w14:val="tx1"/>
            </w14:solidFill>
          </w14:textFill>
        </w:rPr>
        <w:t>高质量转型发展目标，深入推进我</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县</w:t>
      </w:r>
      <w:r>
        <w:rPr>
          <w:rFonts w:hint="default" w:ascii="Times New Roman" w:hAnsi="Times New Roman" w:eastAsia="仿宋_GB2312" w:cs="Times New Roman"/>
          <w:color w:val="000000" w:themeColor="text1"/>
          <w:sz w:val="32"/>
          <w:szCs w:val="32"/>
          <w14:textFill>
            <w14:solidFill>
              <w14:schemeClr w14:val="tx1"/>
            </w14:solidFill>
          </w14:textFill>
        </w:rPr>
        <w:t>传统工艺美术与文旅康养、乡村振兴深度融合，积极引导工美企业发展壮大。</w:t>
      </w:r>
    </w:p>
    <w:p w14:paraId="145DE878">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楷体_GB2312" w:cs="Times New Roman"/>
          <w:b/>
          <w:bCs/>
          <w:color w:val="000000" w:themeColor="text1"/>
          <w:sz w:val="32"/>
          <w:szCs w:val="32"/>
          <w14:textFill>
            <w14:solidFill>
              <w14:schemeClr w14:val="tx1"/>
            </w14:solidFill>
          </w14:textFill>
        </w:rPr>
        <w:t>第五条</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县</w:t>
      </w:r>
      <w:r>
        <w:rPr>
          <w:rFonts w:hint="default" w:ascii="Times New Roman" w:hAnsi="Times New Roman" w:eastAsia="仿宋_GB2312" w:cs="Times New Roman"/>
          <w:color w:val="000000" w:themeColor="text1"/>
          <w:sz w:val="32"/>
          <w:szCs w:val="32"/>
          <w14:textFill>
            <w14:solidFill>
              <w14:schemeClr w14:val="tx1"/>
            </w14:solidFill>
          </w14:textFill>
        </w:rPr>
        <w:t>城镇集体工业联合社为传统工艺美术保护发展的主管部门，负责全</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县</w:t>
      </w:r>
      <w:r>
        <w:rPr>
          <w:rFonts w:hint="default" w:ascii="Times New Roman" w:hAnsi="Times New Roman" w:eastAsia="仿宋_GB2312" w:cs="Times New Roman"/>
          <w:color w:val="000000" w:themeColor="text1"/>
          <w:sz w:val="32"/>
          <w:szCs w:val="32"/>
          <w14:textFill>
            <w14:solidFill>
              <w14:schemeClr w14:val="tx1"/>
            </w14:solidFill>
          </w14:textFill>
        </w:rPr>
        <w:t>传统工艺美术保护发展的指导协调和监督管理工作，具体包括</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3CB78F3B">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一</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组织实施传统工艺美术保护和发展工作</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5A57BE5A">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二</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指导服务传统工艺美术的研究、创作、生产、经营、人才培养、对外交流等活动</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0076186B">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三</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组织传统工艺美术品种和技艺、工艺美术精品的评审认定，组织国家、省、</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市</w:t>
      </w:r>
      <w:r>
        <w:rPr>
          <w:rFonts w:hint="default" w:ascii="Times New Roman" w:hAnsi="Times New Roman" w:eastAsia="仿宋_GB2312" w:cs="Times New Roman"/>
          <w:color w:val="000000" w:themeColor="text1"/>
          <w:sz w:val="32"/>
          <w:szCs w:val="32"/>
          <w14:textFill>
            <w14:solidFill>
              <w14:schemeClr w14:val="tx1"/>
            </w14:solidFill>
          </w14:textFill>
        </w:rPr>
        <w:t>级工艺美术大师评审的具体推荐工作</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2E3B8E80">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四</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负责传统工艺美术保护发展专项资金的筹集、申报和资金监管工作</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并</w:t>
      </w:r>
      <w:r>
        <w:rPr>
          <w:rFonts w:hint="default" w:ascii="Times New Roman" w:hAnsi="Times New Roman" w:eastAsia="仿宋_GB2312" w:cs="Times New Roman"/>
          <w:color w:val="000000" w:themeColor="text1"/>
          <w:sz w:val="32"/>
          <w:szCs w:val="32"/>
          <w14:textFill>
            <w14:solidFill>
              <w14:schemeClr w14:val="tx1"/>
            </w14:solidFill>
          </w14:textFill>
        </w:rPr>
        <w:t>按照《</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陵川</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县</w:t>
      </w:r>
      <w:r>
        <w:rPr>
          <w:rFonts w:hint="default" w:ascii="Times New Roman" w:hAnsi="Times New Roman" w:eastAsia="仿宋_GB2312" w:cs="Times New Roman"/>
          <w:color w:val="000000" w:themeColor="text1"/>
          <w:sz w:val="32"/>
          <w:szCs w:val="32"/>
          <w14:textFill>
            <w14:solidFill>
              <w14:schemeClr w14:val="tx1"/>
            </w14:solidFill>
          </w14:textFill>
        </w:rPr>
        <w:t>财政专项资金管理办法》等相关规定组织考核发放。</w:t>
      </w:r>
    </w:p>
    <w:p w14:paraId="4DF31D71">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楷体_GB2312" w:cs="Times New Roman"/>
          <w:b/>
          <w:bCs/>
          <w:color w:val="000000" w:themeColor="text1"/>
          <w:sz w:val="32"/>
          <w:szCs w:val="32"/>
          <w14:textFill>
            <w14:solidFill>
              <w14:schemeClr w14:val="tx1"/>
            </w14:solidFill>
          </w14:textFill>
        </w:rPr>
      </w:pPr>
      <w:r>
        <w:rPr>
          <w:rFonts w:hint="default" w:ascii="Times New Roman" w:hAnsi="Times New Roman" w:eastAsia="楷体_GB2312" w:cs="Times New Roman"/>
          <w:b/>
          <w:bCs/>
          <w:color w:val="000000" w:themeColor="text1"/>
          <w:sz w:val="32"/>
          <w:szCs w:val="32"/>
          <w14:textFill>
            <w14:solidFill>
              <w14:schemeClr w14:val="tx1"/>
            </w14:solidFill>
          </w14:textFill>
        </w:rPr>
        <w:t>第六条</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县</w:t>
      </w:r>
      <w:r>
        <w:rPr>
          <w:rFonts w:hint="default" w:ascii="Times New Roman" w:hAnsi="Times New Roman" w:eastAsia="仿宋_GB2312" w:cs="Times New Roman"/>
          <w:color w:val="000000" w:themeColor="text1"/>
          <w:sz w:val="32"/>
          <w:szCs w:val="32"/>
          <w14:textFill>
            <w14:solidFill>
              <w14:schemeClr w14:val="tx1"/>
            </w14:solidFill>
          </w14:textFill>
        </w:rPr>
        <w:t>工艺美术协会等相关行业组织应协助工艺美术主管部门做好传统工艺美术保护发展工作。</w:t>
      </w:r>
    </w:p>
    <w:p w14:paraId="6B6245C1">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楷体_GB2312" w:cs="Times New Roman"/>
          <w:b/>
          <w:bCs/>
          <w:color w:val="000000" w:themeColor="text1"/>
          <w:sz w:val="32"/>
          <w:szCs w:val="32"/>
          <w14:textFill>
            <w14:solidFill>
              <w14:schemeClr w14:val="tx1"/>
            </w14:solidFill>
          </w14:textFill>
        </w:rPr>
        <w:t>第七条</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县</w:t>
      </w:r>
      <w:r>
        <w:rPr>
          <w:rFonts w:hint="default" w:ascii="Times New Roman" w:hAnsi="Times New Roman" w:eastAsia="仿宋_GB2312" w:cs="Times New Roman"/>
          <w:color w:val="000000" w:themeColor="text1"/>
          <w:sz w:val="32"/>
          <w:szCs w:val="32"/>
          <w14:textFill>
            <w14:solidFill>
              <w14:schemeClr w14:val="tx1"/>
            </w14:solidFill>
          </w14:textFill>
        </w:rPr>
        <w:t>财政每年设立不少于</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35</w:t>
      </w:r>
      <w:r>
        <w:rPr>
          <w:rFonts w:hint="default" w:ascii="Times New Roman" w:hAnsi="Times New Roman" w:eastAsia="仿宋_GB2312" w:cs="Times New Roman"/>
          <w:color w:val="000000" w:themeColor="text1"/>
          <w:sz w:val="32"/>
          <w:szCs w:val="32"/>
          <w14:textFill>
            <w14:solidFill>
              <w14:schemeClr w14:val="tx1"/>
            </w14:solidFill>
          </w14:textFill>
        </w:rPr>
        <w:t>万元的传统工艺美术保护发展专项资金，并列入年度财政预算。专项资金主要用于</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3CD96416">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一</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传统技艺的保护传承和弘扬振兴。地域特色传统工艺美术传承，拯救、保护濒临失传的传统工艺美术品种和技艺，发掘已失传的传统工艺美术品种和技艺，工艺美术品类的创新创作研发，传统工艺美术与现代科技的融合应用</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开展综合性、专业性行业调查，支持编辑出版传统工艺美术技艺资料。</w:t>
      </w:r>
    </w:p>
    <w:p w14:paraId="5347604D">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二</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培育工艺美术行业产业化聚集发展。引导工艺美术企业和个人统筹做好传统技艺保护和产业化发展，积极培育工艺美术</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市</w:t>
      </w:r>
      <w:r>
        <w:rPr>
          <w:rFonts w:hint="default" w:ascii="Times New Roman" w:hAnsi="Times New Roman" w:eastAsia="仿宋_GB2312" w:cs="Times New Roman"/>
          <w:color w:val="000000" w:themeColor="text1"/>
          <w:sz w:val="32"/>
          <w:szCs w:val="32"/>
          <w14:textFill>
            <w14:solidFill>
              <w14:schemeClr w14:val="tx1"/>
            </w14:solidFill>
          </w14:textFill>
        </w:rPr>
        <w:t>场主体，推动各类工艺美术产业协同发展。加强传统工艺美术产业集群、产业园区、特色村镇、集聚地等工艺美术特色区域建设，在立项、规划、资金等方面给予支持。</w:t>
      </w:r>
    </w:p>
    <w:p w14:paraId="0A495E60">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三</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工艺美术行业的宣传推广。支持传统工艺美术产品展示展销、交流活动和宣传推介活动，支持开展工美艺术展览，对传统工艺美术品牌进行培育推广。</w:t>
      </w:r>
    </w:p>
    <w:p w14:paraId="598C6701">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highlight w:val="none"/>
          <w:shd w:val="clear" w:color="auto" w:fill="auto"/>
          <w14:textFill>
            <w14:solidFill>
              <w14:schemeClr w14:val="tx1"/>
            </w14:solidFill>
          </w14:textFill>
        </w:rPr>
      </w:pPr>
      <w:r>
        <w:rPr>
          <w:rFonts w:hint="default" w:ascii="Times New Roman" w:hAnsi="Times New Roman" w:eastAsia="仿宋_GB2312" w:cs="Times New Roman"/>
          <w:strike w:val="0"/>
          <w:dstrike w:val="0"/>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strike w:val="0"/>
          <w:dstrike w:val="0"/>
          <w:color w:val="000000" w:themeColor="text1"/>
          <w:sz w:val="32"/>
          <w:szCs w:val="32"/>
          <w14:textFill>
            <w14:solidFill>
              <w14:schemeClr w14:val="tx1"/>
            </w14:solidFill>
          </w14:textFill>
        </w:rPr>
        <w:t>四</w:t>
      </w:r>
      <w:r>
        <w:rPr>
          <w:rFonts w:hint="default" w:ascii="Times New Roman" w:hAnsi="Times New Roman" w:eastAsia="仿宋_GB2312" w:cs="Times New Roman"/>
          <w:strike w:val="0"/>
          <w:dstrike w:val="0"/>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shd w:val="clear" w:color="auto" w:fill="auto"/>
          <w14:textFill>
            <w14:solidFill>
              <w14:schemeClr w14:val="tx1"/>
            </w14:solidFill>
          </w14:textFill>
        </w:rPr>
        <w:t>建立高素质工艺美术人才队伍。对被评为国家级和山西省级工艺美术大师，参展参赛作品获得国家级和山西省级重要奖项</w:t>
      </w:r>
      <w:r>
        <w:rPr>
          <w:rFonts w:hint="eastAsia" w:ascii="Times New Roman" w:hAnsi="Times New Roman" w:eastAsia="仿宋_GB2312" w:cs="Times New Roman"/>
          <w:color w:val="000000" w:themeColor="text1"/>
          <w:sz w:val="32"/>
          <w:szCs w:val="32"/>
          <w:highlight w:val="none"/>
          <w:shd w:val="clear" w:color="auto" w:fill="auto"/>
          <w:lang w:val="en-US" w:eastAsia="zh-CN"/>
          <w14:textFill>
            <w14:solidFill>
              <w14:schemeClr w14:val="tx1"/>
            </w14:solidFill>
          </w14:textFill>
        </w:rPr>
        <w:t>的企业和个人给予奖励，推动我县</w:t>
      </w:r>
      <w:r>
        <w:rPr>
          <w:rFonts w:hint="default" w:ascii="Times New Roman" w:hAnsi="Times New Roman" w:eastAsia="仿宋_GB2312" w:cs="Times New Roman"/>
          <w:color w:val="000000" w:themeColor="text1"/>
          <w:sz w:val="32"/>
          <w:szCs w:val="32"/>
          <w:highlight w:val="none"/>
          <w:shd w:val="clear" w:color="auto" w:fill="auto"/>
          <w14:textFill>
            <w14:solidFill>
              <w14:schemeClr w14:val="tx1"/>
            </w14:solidFill>
          </w14:textFill>
        </w:rPr>
        <w:t>传统工艺美术挖掘、保护、传承、发展。</w:t>
      </w:r>
    </w:p>
    <w:p w14:paraId="578B2F69">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五</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县</w:t>
      </w:r>
      <w:r>
        <w:rPr>
          <w:rFonts w:hint="default" w:ascii="Times New Roman" w:hAnsi="Times New Roman" w:eastAsia="仿宋_GB2312" w:cs="Times New Roman"/>
          <w:color w:val="000000" w:themeColor="text1"/>
          <w:sz w:val="32"/>
          <w:szCs w:val="32"/>
          <w14:textFill>
            <w14:solidFill>
              <w14:schemeClr w14:val="tx1"/>
            </w14:solidFill>
          </w14:textFill>
        </w:rPr>
        <w:t>委、</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县</w:t>
      </w:r>
      <w:r>
        <w:rPr>
          <w:rFonts w:hint="default" w:ascii="Times New Roman" w:hAnsi="Times New Roman" w:eastAsia="仿宋_GB2312" w:cs="Times New Roman"/>
          <w:color w:val="000000" w:themeColor="text1"/>
          <w:sz w:val="32"/>
          <w:szCs w:val="32"/>
          <w14:textFill>
            <w14:solidFill>
              <w14:schemeClr w14:val="tx1"/>
            </w14:solidFill>
          </w14:textFill>
        </w:rPr>
        <w:t>政府确定的需支持的重点领域和方向。</w:t>
      </w:r>
    </w:p>
    <w:p w14:paraId="2827015B">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六</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县</w:t>
      </w:r>
      <w:r>
        <w:rPr>
          <w:rFonts w:hint="default" w:ascii="Times New Roman" w:hAnsi="Times New Roman" w:eastAsia="仿宋_GB2312" w:cs="Times New Roman"/>
          <w:color w:val="000000" w:themeColor="text1"/>
          <w:sz w:val="32"/>
          <w:szCs w:val="32"/>
          <w14:textFill>
            <w14:solidFill>
              <w14:schemeClr w14:val="tx1"/>
            </w14:solidFill>
          </w14:textFill>
        </w:rPr>
        <w:t>城镇集体工业联合社在工美资金管理过程中发生的项目申报组织、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资料编印、</w:t>
      </w:r>
      <w:r>
        <w:rPr>
          <w:rFonts w:hint="default" w:ascii="Times New Roman" w:hAnsi="Times New Roman" w:eastAsia="仿宋_GB2312" w:cs="Times New Roman"/>
          <w:color w:val="000000" w:themeColor="text1"/>
          <w:sz w:val="32"/>
          <w:szCs w:val="32"/>
          <w14:textFill>
            <w14:solidFill>
              <w14:schemeClr w14:val="tx1"/>
            </w14:solidFill>
          </w14:textFill>
        </w:rPr>
        <w:t>评估咨询、评审检查、绩效评价、推介宣传工作等相关费用，可在专项资金中列支。</w:t>
      </w:r>
    </w:p>
    <w:p w14:paraId="637AEA01">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b/>
          <w:bCs/>
          <w:color w:val="000000" w:themeColor="text1"/>
          <w:sz w:val="32"/>
          <w:szCs w:val="32"/>
          <w14:textFill>
            <w14:solidFill>
              <w14:schemeClr w14:val="tx1"/>
            </w14:solidFill>
          </w14:textFill>
        </w:rPr>
        <w:t>第</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八</w:t>
      </w:r>
      <w:r>
        <w:rPr>
          <w:rFonts w:hint="default" w:ascii="Times New Roman" w:hAnsi="Times New Roman" w:eastAsia="楷体_GB2312" w:cs="Times New Roman"/>
          <w:b/>
          <w:bCs/>
          <w:color w:val="000000" w:themeColor="text1"/>
          <w:sz w:val="32"/>
          <w:szCs w:val="32"/>
          <w14:textFill>
            <w14:solidFill>
              <w14:schemeClr w14:val="tx1"/>
            </w14:solidFill>
          </w14:textFill>
        </w:rPr>
        <w:t>条</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专项资金支持对象。在我</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县</w:t>
      </w:r>
      <w:r>
        <w:rPr>
          <w:rFonts w:hint="default" w:ascii="Times New Roman" w:hAnsi="Times New Roman" w:eastAsia="仿宋_GB2312" w:cs="Times New Roman"/>
          <w:color w:val="000000" w:themeColor="text1"/>
          <w:sz w:val="32"/>
          <w:szCs w:val="32"/>
          <w14:textFill>
            <w14:solidFill>
              <w14:schemeClr w14:val="tx1"/>
            </w14:solidFill>
          </w14:textFill>
        </w:rPr>
        <w:t>从事传统工艺美术行业的符合条件的</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企业、个体工商户</w:t>
      </w:r>
      <w:r>
        <w:rPr>
          <w:rFonts w:hint="default" w:ascii="Times New Roman" w:hAnsi="Times New Roman" w:eastAsia="仿宋_GB2312" w:cs="Times New Roman"/>
          <w:color w:val="000000" w:themeColor="text1"/>
          <w:sz w:val="32"/>
          <w:szCs w:val="32"/>
          <w14:textFill>
            <w14:solidFill>
              <w14:schemeClr w14:val="tx1"/>
            </w14:solidFill>
          </w14:textFill>
        </w:rPr>
        <w:t>和符合奖补支持范围的个人。</w:t>
      </w:r>
    </w:p>
    <w:p w14:paraId="60665C10">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b/>
          <w:bCs/>
          <w:color w:val="000000" w:themeColor="text1"/>
          <w:sz w:val="32"/>
          <w:szCs w:val="32"/>
          <w14:textFill>
            <w14:solidFill>
              <w14:schemeClr w14:val="tx1"/>
            </w14:solidFill>
          </w14:textFill>
        </w:rPr>
        <w:t>第九条</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专项资金主要采取奖励</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补助两种方式</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对同一项目原则上只采用一种支持方式。奖励资金主要用于引导工美企业产业化发展和相关参展、评级等工作</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补助资金主要用于对我</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县</w:t>
      </w:r>
      <w:r>
        <w:rPr>
          <w:rFonts w:hint="default" w:ascii="Times New Roman" w:hAnsi="Times New Roman" w:eastAsia="仿宋_GB2312" w:cs="Times New Roman"/>
          <w:color w:val="000000" w:themeColor="text1"/>
          <w:sz w:val="32"/>
          <w:szCs w:val="32"/>
          <w14:textFill>
            <w14:solidFill>
              <w14:schemeClr w14:val="tx1"/>
            </w14:solidFill>
          </w14:textFill>
        </w:rPr>
        <w:t>传统工艺美术的保护传承等工作</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于上一自然年度结束后，经统计、认定等程序，按上一年度应发额度予以发放。</w:t>
      </w:r>
    </w:p>
    <w:p w14:paraId="1E333589">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（一）奖励</w:t>
      </w:r>
    </w:p>
    <w:p w14:paraId="0BEDEAFF">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highlight w:val="none"/>
          <w:shd w:val="clear" w:color="auto" w:fill="auto"/>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w:t>
      </w:r>
      <w:r>
        <w:rPr>
          <w:rFonts w:hint="eastAsia" w:ascii="Times New Roman" w:hAnsi="Times New Roman" w:eastAsia="仿宋_GB2312" w:cs="Times New Roman"/>
          <w:color w:val="000000" w:themeColor="text1"/>
          <w:sz w:val="32"/>
          <w:szCs w:val="32"/>
          <w:highlight w:val="none"/>
          <w:shd w:val="clear" w:color="auto" w:fill="auto"/>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shd w:val="clear" w:color="auto" w:fill="auto"/>
          <w:lang w:val="en-US" w:eastAsia="zh-CN"/>
          <w14:textFill>
            <w14:solidFill>
              <w14:schemeClr w14:val="tx1"/>
            </w14:solidFill>
          </w14:textFill>
        </w:rPr>
        <w:t>对新申请注册商标成功的企业，给予每个注册商标0.2万元的一次性奖励。申报</w:t>
      </w:r>
      <w:r>
        <w:rPr>
          <w:rFonts w:hint="eastAsia" w:ascii="Times New Roman" w:hAnsi="Times New Roman" w:eastAsia="仿宋_GB2312" w:cs="Times New Roman"/>
          <w:color w:val="000000" w:themeColor="text1"/>
          <w:sz w:val="32"/>
          <w:szCs w:val="32"/>
          <w:highlight w:val="none"/>
          <w:shd w:val="clear" w:color="auto" w:fill="auto"/>
          <w:lang w:val="en-US" w:eastAsia="zh-CN"/>
          <w14:textFill>
            <w14:solidFill>
              <w14:schemeClr w14:val="tx1"/>
            </w14:solidFill>
          </w14:textFill>
        </w:rPr>
        <w:t>者</w:t>
      </w:r>
      <w:r>
        <w:rPr>
          <w:rFonts w:hint="default" w:ascii="Times New Roman" w:hAnsi="Times New Roman" w:eastAsia="仿宋_GB2312" w:cs="Times New Roman"/>
          <w:color w:val="000000" w:themeColor="text1"/>
          <w:sz w:val="32"/>
          <w:szCs w:val="32"/>
          <w:highlight w:val="none"/>
          <w:shd w:val="clear" w:color="auto" w:fill="auto"/>
          <w:lang w:val="en-US" w:eastAsia="zh-CN"/>
          <w14:textFill>
            <w14:solidFill>
              <w14:schemeClr w14:val="tx1"/>
            </w14:solidFill>
          </w14:textFill>
        </w:rPr>
        <w:t>应提供注册申请相关材料。</w:t>
      </w:r>
    </w:p>
    <w:p w14:paraId="46383D40">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.支持工艺美术大师参评晋升，对全</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县</w:t>
      </w:r>
      <w:r>
        <w:rPr>
          <w:rFonts w:hint="default" w:ascii="Times New Roman" w:hAnsi="Times New Roman" w:eastAsia="仿宋_GB2312" w:cs="Times New Roman"/>
          <w:color w:val="000000" w:themeColor="text1"/>
          <w:sz w:val="32"/>
          <w:szCs w:val="32"/>
          <w14:textFill>
            <w14:solidFill>
              <w14:schemeClr w14:val="tx1"/>
            </w14:solidFill>
          </w14:textFill>
        </w:rPr>
        <w:t>范围内获得中国工艺美术大师</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山西省工艺美术大师荣誉称号的，分别给予一次性奖励</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万元、</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万元。申报人应提供大师申报书、评选结果公示文件、荣誉证书等材料。</w:t>
      </w:r>
    </w:p>
    <w:p w14:paraId="2349F40E">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（二）补助</w:t>
      </w:r>
    </w:p>
    <w:p w14:paraId="2F2504C9">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1.对符合本办法第七条明确支持领域的传统技艺给予补助，按照《</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陵川县</w:t>
      </w:r>
      <w:r>
        <w:rPr>
          <w:rFonts w:hint="default" w:ascii="Times New Roman" w:hAnsi="Times New Roman" w:eastAsia="仿宋_GB2312" w:cs="Times New Roman"/>
          <w:color w:val="000000" w:themeColor="text1"/>
          <w:sz w:val="32"/>
          <w:szCs w:val="32"/>
          <w14:textFill>
            <w14:solidFill>
              <w14:schemeClr w14:val="tx1"/>
            </w14:solidFill>
          </w14:textFill>
        </w:rPr>
        <w:t>财政专项资金管理办法》，遵循“总额控制、统筹使用、注重保护、产业发展、规范管理”的原则，统筹传统保护和产业化发展的总体思路，经评审分别给予3万元、2万元、1万元、0.5万元的年度补助。</w:t>
      </w:r>
    </w:p>
    <w:p w14:paraId="70AFFF29">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highlight w:val="none"/>
          <w:shd w:val="clear" w:color="auto" w:fill="auto"/>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对从事传统工艺美术创作、生产、销售和其他业务的企业法人、个体工商户、个人独资企业、合伙企业、行业协会等非财政拨款主体，给予资金补助。补助资金须用于传统技艺传承、创新研发、天然/传统原材料购置，以及工艺美术展览、展示、交流等与产业发展直接相关的活动。</w:t>
      </w:r>
    </w:p>
    <w:p w14:paraId="0B7AE0BF">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对参加国家级、山西省级工艺美术专业展会的，给予展位费50%的补助，最高不超过1万元。申报单位应提供展位费或展示服务费发票复印件；支付展位费或展示服务费的银行对账单、回单等支付证明原件；统一社会信用代码营业执照复印件；参展合同复印件；展会期间展位、活动现场照片原件；银行开户许可证复印件等材料。</w:t>
      </w:r>
    </w:p>
    <w:p w14:paraId="24BC8FB4">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14:textFill>
            <w14:solidFill>
              <w14:schemeClr w14:val="tx1"/>
            </w14:solidFill>
          </w14:textFill>
        </w:rPr>
        <w:t>.鼓励大师带徒传艺。省级</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市级</w:t>
      </w:r>
      <w:r>
        <w:rPr>
          <w:rFonts w:hint="default" w:ascii="Times New Roman" w:hAnsi="Times New Roman" w:eastAsia="仿宋_GB2312" w:cs="Times New Roman"/>
          <w:color w:val="000000" w:themeColor="text1"/>
          <w:sz w:val="32"/>
          <w:szCs w:val="32"/>
          <w14:textFill>
            <w14:solidFill>
              <w14:schemeClr w14:val="tx1"/>
            </w14:solidFill>
          </w14:textFill>
        </w:rPr>
        <w:t>工艺美术大师每带1名学徒，分别按照每月</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00</w:t>
      </w:r>
      <w:r>
        <w:rPr>
          <w:rFonts w:hint="default" w:ascii="Times New Roman" w:hAnsi="Times New Roman" w:eastAsia="仿宋_GB2312" w:cs="Times New Roman"/>
          <w:color w:val="000000" w:themeColor="text1"/>
          <w:sz w:val="32"/>
          <w:szCs w:val="32"/>
          <w14:textFill>
            <w14:solidFill>
              <w14:schemeClr w14:val="tx1"/>
            </w14:solidFill>
          </w14:textFill>
        </w:rPr>
        <w:t>元、</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14:textFill>
            <w14:solidFill>
              <w14:schemeClr w14:val="tx1"/>
            </w14:solidFill>
          </w14:textFill>
        </w:rPr>
        <w:t>00元的标准对大师给予补贴。省级</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市级</w:t>
      </w:r>
      <w:r>
        <w:rPr>
          <w:rFonts w:hint="default" w:ascii="Times New Roman" w:hAnsi="Times New Roman" w:eastAsia="仿宋_GB2312" w:cs="Times New Roman"/>
          <w:color w:val="000000" w:themeColor="text1"/>
          <w:sz w:val="32"/>
          <w:szCs w:val="32"/>
          <w14:textFill>
            <w14:solidFill>
              <w14:schemeClr w14:val="tx1"/>
            </w14:solidFill>
          </w14:textFill>
        </w:rPr>
        <w:t>工艺美术大师在同一时期享受补贴最多不超过3人，对同一徒弟享受补贴时间不超过3年。带徒授艺培训补贴每年发放一次。</w:t>
      </w:r>
    </w:p>
    <w:p w14:paraId="4B59CDB9">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申请带徒授艺补贴的工艺美术大师，必须具备以下条件：</w:t>
      </w:r>
    </w:p>
    <w:p w14:paraId="260F83BD">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（1）思想品德好，乐于传授技艺；</w:t>
      </w:r>
    </w:p>
    <w:p w14:paraId="518E0BAC">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（2）有带徒授艺的固定场所；</w:t>
      </w:r>
    </w:p>
    <w:p w14:paraId="2822674C">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（3）签订期限3年或3年以上的带徒授艺协议书，并经</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县</w:t>
      </w:r>
      <w:r>
        <w:rPr>
          <w:rFonts w:hint="default" w:ascii="Times New Roman" w:hAnsi="Times New Roman" w:eastAsia="仿宋_GB2312" w:cs="Times New Roman"/>
          <w:color w:val="000000" w:themeColor="text1"/>
          <w:sz w:val="32"/>
          <w:szCs w:val="32"/>
          <w14:textFill>
            <w14:solidFill>
              <w14:schemeClr w14:val="tx1"/>
            </w14:solidFill>
          </w14:textFill>
        </w:rPr>
        <w:t>城联社鉴证；</w:t>
      </w:r>
    </w:p>
    <w:p w14:paraId="2E4A096B">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（4）开展带徒弟传授技艺活动，并有相关佐证材料；</w:t>
      </w:r>
    </w:p>
    <w:p w14:paraId="51A6C31F">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（5）身体健康，能进行正常的教学和技艺传授，并有相应的工作计划和时间保障。</w:t>
      </w:r>
    </w:p>
    <w:p w14:paraId="0CFE7A0D">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体弱多病、不能正常传授技艺者；多年没有从事传统工艺美术制作，已转行从事其他职业者，不能申请带徒授艺补贴。</w:t>
      </w:r>
    </w:p>
    <w:p w14:paraId="4FCC8C58">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申请认定时，应填写晋城市《工艺美术大师带徒授艺培训补贴申请表》；提供本人的身份证、荣誉称号、专业技术职称和职业资格证书、获奖证书复印件，徒弟的身份证、专业技术职称和职业资格证书、学历证书、获奖证书复印件以及带徒授艺协议书复印件等材料。</w:t>
      </w:r>
    </w:p>
    <w:p w14:paraId="16D10E35">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.用于山西省、晋城</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市</w:t>
      </w:r>
      <w:r>
        <w:rPr>
          <w:rFonts w:hint="default" w:ascii="Times New Roman" w:hAnsi="Times New Roman" w:eastAsia="仿宋_GB2312" w:cs="Times New Roman"/>
          <w:color w:val="000000" w:themeColor="text1"/>
          <w:sz w:val="32"/>
          <w:szCs w:val="32"/>
          <w14:textFill>
            <w14:solidFill>
              <w14:schemeClr w14:val="tx1"/>
            </w14:solidFill>
          </w14:textFill>
        </w:rPr>
        <w:t>工艺美术支持项目的配套支持。</w:t>
      </w:r>
    </w:p>
    <w:p w14:paraId="5B64293D">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楷体_GB2312" w:cs="Times New Roman"/>
          <w:b/>
          <w:bCs/>
          <w:color w:val="000000" w:themeColor="text1"/>
          <w:sz w:val="32"/>
          <w:szCs w:val="32"/>
          <w14:textFill>
            <w14:solidFill>
              <w14:schemeClr w14:val="tx1"/>
            </w14:solidFill>
          </w14:textFill>
        </w:rPr>
        <w:t>第十条</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传统工艺美术品种和技艺、工艺美术精品的评审认定由</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县</w:t>
      </w:r>
      <w:r>
        <w:rPr>
          <w:rFonts w:hint="default" w:ascii="Times New Roman" w:hAnsi="Times New Roman" w:eastAsia="仿宋_GB2312" w:cs="Times New Roman"/>
          <w:color w:val="000000" w:themeColor="text1"/>
          <w:sz w:val="32"/>
          <w:szCs w:val="32"/>
          <w14:textFill>
            <w14:solidFill>
              <w14:schemeClr w14:val="tx1"/>
            </w14:solidFill>
          </w14:textFill>
        </w:rPr>
        <w:t>城镇集体工业联合社组织实施，并采取以下保护措施</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5E526085">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一</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搜集、整理、建立档案，征集、收藏优秀代表作品</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371B3D3F">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eastAsia" w:ascii="Times New Roman" w:hAnsi="Times New Roman" w:eastAsia="仿宋_GB2312" w:cs="Times New Roman"/>
          <w:color w:val="000000" w:themeColor="text1"/>
          <w:sz w:val="32"/>
          <w:szCs w:val="32"/>
          <w:highlight w:val="none"/>
          <w:shd w:val="clear" w:color="auto" w:fill="auto"/>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二</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shd w:val="clear" w:color="auto" w:fill="auto"/>
          <w:lang w:val="en-US" w:eastAsia="zh-CN"/>
          <w14:textFill>
            <w14:solidFill>
              <w14:schemeClr w14:val="tx1"/>
            </w14:solidFill>
          </w14:textFill>
        </w:rPr>
        <w:t>推荐申报国家、山西省级传统工艺美术品种和技艺。</w:t>
      </w:r>
    </w:p>
    <w:p w14:paraId="63504DB1">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三</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指导企业和个人建立传统工艺美术技艺保密制度，依法采取保密措施。</w:t>
      </w:r>
    </w:p>
    <w:p w14:paraId="40D2DE5B">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highlight w:val="none"/>
          <w:shd w:val="clear" w:color="auto" w:fill="auto"/>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四</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shd w:val="clear" w:color="auto" w:fill="auto"/>
          <w:lang w:val="en-US" w:eastAsia="zh-CN"/>
          <w14:textFill>
            <w14:solidFill>
              <w14:schemeClr w14:val="tx1"/>
            </w14:solidFill>
          </w14:textFill>
        </w:rPr>
        <w:t>鼓励和指导县工美协会、企业、个人建立工艺美术精品档案，出版专辑推介宣传，推荐申报山西省工艺美术精品或国家级珍品。</w:t>
      </w:r>
    </w:p>
    <w:p w14:paraId="1657E4B3">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b/>
          <w:bCs/>
          <w:color w:val="000000" w:themeColor="text1"/>
          <w:sz w:val="32"/>
          <w:szCs w:val="32"/>
          <w14:textFill>
            <w14:solidFill>
              <w14:schemeClr w14:val="tx1"/>
            </w14:solidFill>
          </w14:textFill>
        </w:rPr>
        <w:t>第十一条</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支持组建工艺美术大师创作团队。鼓励国家、山西省、晋城</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市</w:t>
      </w:r>
      <w:r>
        <w:rPr>
          <w:rFonts w:hint="default" w:ascii="Times New Roman" w:hAnsi="Times New Roman" w:eastAsia="仿宋_GB2312" w:cs="Times New Roman"/>
          <w:color w:val="000000" w:themeColor="text1"/>
          <w:sz w:val="32"/>
          <w:szCs w:val="32"/>
          <w14:textFill>
            <w14:solidFill>
              <w14:schemeClr w14:val="tx1"/>
            </w14:solidFill>
          </w14:textFill>
        </w:rPr>
        <w:t>级大师组建创作团队，走个性化、差异化、高端化发展之路，聚集合力创新，共同打造大师品牌。</w:t>
      </w:r>
    </w:p>
    <w:p w14:paraId="4FDA027C">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楷体_GB2312" w:cs="Times New Roman"/>
          <w:b/>
          <w:bCs/>
          <w:color w:val="000000" w:themeColor="text1"/>
          <w:sz w:val="32"/>
          <w:szCs w:val="32"/>
          <w14:textFill>
            <w14:solidFill>
              <w14:schemeClr w14:val="tx1"/>
            </w14:solidFill>
          </w14:textFill>
        </w:rPr>
        <w:t>第十二条</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支持学习培训和参展参评。引导工艺美术大师加强学习交流，组织工艺美术大师参加国家、山西省等权威性展示展览和竞赛评比活动，鼓励和支持大师举办个展或联合办展</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3B74B051">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b/>
          <w:bCs/>
          <w:color w:val="000000" w:themeColor="text1"/>
          <w:sz w:val="32"/>
          <w:szCs w:val="32"/>
          <w14:textFill>
            <w14:solidFill>
              <w14:schemeClr w14:val="tx1"/>
            </w14:solidFill>
          </w14:textFill>
        </w:rPr>
        <w:t>第十三条</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各乡镇、各有关部门要认真贯彻落实国家、山西省、晋城</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市</w:t>
      </w:r>
      <w:r>
        <w:rPr>
          <w:rFonts w:hint="default" w:ascii="Times New Roman" w:hAnsi="Times New Roman" w:eastAsia="仿宋_GB2312" w:cs="Times New Roman"/>
          <w:color w:val="000000" w:themeColor="text1"/>
          <w:sz w:val="32"/>
          <w:szCs w:val="32"/>
          <w14:textFill>
            <w14:solidFill>
              <w14:schemeClr w14:val="tx1"/>
            </w14:solidFill>
          </w14:textFill>
        </w:rPr>
        <w:t>及我</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县</w:t>
      </w:r>
      <w:r>
        <w:rPr>
          <w:rFonts w:hint="default" w:ascii="Times New Roman" w:hAnsi="Times New Roman" w:eastAsia="仿宋_GB2312" w:cs="Times New Roman"/>
          <w:color w:val="000000" w:themeColor="text1"/>
          <w:sz w:val="32"/>
          <w:szCs w:val="32"/>
          <w14:textFill>
            <w14:solidFill>
              <w14:schemeClr w14:val="tx1"/>
            </w14:solidFill>
          </w14:textFill>
        </w:rPr>
        <w:t>鼓励发展文化产业优惠政策，积极推动工艺美术企业在保护发展和做大做强上起引领示范作用。</w:t>
      </w:r>
    </w:p>
    <w:p w14:paraId="05DE67FB">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b/>
          <w:bCs/>
          <w:color w:val="000000" w:themeColor="text1"/>
          <w:sz w:val="32"/>
          <w:szCs w:val="32"/>
          <w14:textFill>
            <w14:solidFill>
              <w14:schemeClr w14:val="tx1"/>
            </w14:solidFill>
          </w14:textFill>
        </w:rPr>
        <w:t>第十四条</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加强工艺美术版权保护，规范工艺美术产品申报登记。</w:t>
      </w:r>
    </w:p>
    <w:p w14:paraId="51142ED6">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一</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对于提供虚假材料或者作品骗取</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县</w:t>
      </w:r>
      <w:r>
        <w:rPr>
          <w:rFonts w:hint="default" w:ascii="Times New Roman" w:hAnsi="Times New Roman" w:eastAsia="仿宋_GB2312" w:cs="Times New Roman"/>
          <w:color w:val="000000" w:themeColor="text1"/>
          <w:sz w:val="32"/>
          <w:szCs w:val="32"/>
          <w14:textFill>
            <w14:solidFill>
              <w14:schemeClr w14:val="tx1"/>
            </w14:solidFill>
          </w14:textFill>
        </w:rPr>
        <w:t>传统工艺美术品种和技艺或者</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县</w:t>
      </w:r>
      <w:r>
        <w:rPr>
          <w:rFonts w:hint="default" w:ascii="Times New Roman" w:hAnsi="Times New Roman" w:eastAsia="仿宋_GB2312" w:cs="Times New Roman"/>
          <w:color w:val="000000" w:themeColor="text1"/>
          <w:sz w:val="32"/>
          <w:szCs w:val="32"/>
          <w14:textFill>
            <w14:solidFill>
              <w14:schemeClr w14:val="tx1"/>
            </w14:solidFill>
          </w14:textFill>
        </w:rPr>
        <w:t>工艺美术精品认定的，由</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县</w:t>
      </w:r>
      <w:r>
        <w:rPr>
          <w:rFonts w:hint="default" w:ascii="Times New Roman" w:hAnsi="Times New Roman" w:eastAsia="仿宋_GB2312" w:cs="Times New Roman"/>
          <w:color w:val="000000" w:themeColor="text1"/>
          <w:sz w:val="32"/>
          <w:szCs w:val="32"/>
          <w14:textFill>
            <w14:solidFill>
              <w14:schemeClr w14:val="tx1"/>
            </w14:solidFill>
          </w14:textFill>
        </w:rPr>
        <w:t>城镇集体工业联合社撤销已认定的资格并收回证书、证标，3年内不再受理其申请</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79F64CF4">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二</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加大工艺美术版权保护政策法规的宣传力度，引导工艺美术大师申请版权登记，加大传统工艺美术作品版权保护力度。</w:t>
      </w:r>
    </w:p>
    <w:p w14:paraId="7003AFC9">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b/>
          <w:bCs/>
          <w:color w:val="000000" w:themeColor="text1"/>
          <w:sz w:val="32"/>
          <w:szCs w:val="32"/>
          <w14:textFill>
            <w14:solidFill>
              <w14:schemeClr w14:val="tx1"/>
            </w14:solidFill>
          </w14:textFill>
        </w:rPr>
        <w:t>第十五条</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县</w:t>
      </w:r>
      <w:r>
        <w:rPr>
          <w:rFonts w:hint="default" w:ascii="Times New Roman" w:hAnsi="Times New Roman" w:eastAsia="仿宋_GB2312" w:cs="Times New Roman"/>
          <w:color w:val="000000" w:themeColor="text1"/>
          <w:sz w:val="32"/>
          <w:szCs w:val="32"/>
          <w14:textFill>
            <w14:solidFill>
              <w14:schemeClr w14:val="tx1"/>
            </w14:solidFill>
          </w14:textFill>
        </w:rPr>
        <w:t>自然资源、林业等部门要加大对本土传统工艺美术制作特需的珍稀矿产资源和天然原材料的保护力度，对非法采伐、占用或破坏的，依法给予行政处罚</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构成犯罪的，依法追究刑事责任。</w:t>
      </w:r>
    </w:p>
    <w:p w14:paraId="63858104">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b/>
          <w:bCs/>
          <w:color w:val="000000" w:themeColor="text1"/>
          <w:sz w:val="32"/>
          <w:szCs w:val="32"/>
          <w14:textFill>
            <w14:solidFill>
              <w14:schemeClr w14:val="tx1"/>
            </w14:solidFill>
          </w14:textFill>
        </w:rPr>
        <w:t>第十六条</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专项资金使用单位和个人要严格执行财务制度和会计核算办法，各项支出必须严格按照规定的使用范围和开支标准执行。</w:t>
      </w:r>
    </w:p>
    <w:p w14:paraId="19FCF029">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b/>
          <w:bCs/>
          <w:color w:val="000000" w:themeColor="text1"/>
          <w:sz w:val="32"/>
          <w:szCs w:val="32"/>
          <w14:textFill>
            <w14:solidFill>
              <w14:schemeClr w14:val="tx1"/>
            </w14:solidFill>
          </w14:textFill>
        </w:rPr>
        <w:t>第十七条</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专项资金不得用于支付各种罚款、捐款、赞助、投资等支出，不得用于编制内在职人员工资性支出，不得用于偿还债务，不得用于国家规定禁止列入的其他支出。对违反规定使用专项资金的，主管部门应要求专项资金使用单位和个人及时进行整改，情节严重的依法依规进行处理。</w:t>
      </w:r>
    </w:p>
    <w:p w14:paraId="4B7D7336">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b/>
          <w:bCs/>
          <w:color w:val="000000" w:themeColor="text1"/>
          <w:sz w:val="32"/>
          <w:szCs w:val="32"/>
          <w14:textFill>
            <w14:solidFill>
              <w14:schemeClr w14:val="tx1"/>
            </w14:solidFill>
          </w14:textFill>
        </w:rPr>
        <w:t>第十</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八</w:t>
      </w:r>
      <w:r>
        <w:rPr>
          <w:rFonts w:hint="default" w:ascii="Times New Roman" w:hAnsi="Times New Roman" w:eastAsia="楷体_GB2312" w:cs="Times New Roman"/>
          <w:b/>
          <w:bCs/>
          <w:color w:val="000000" w:themeColor="text1"/>
          <w:sz w:val="32"/>
          <w:szCs w:val="32"/>
          <w14:textFill>
            <w14:solidFill>
              <w14:schemeClr w14:val="tx1"/>
            </w14:solidFill>
          </w14:textFill>
        </w:rPr>
        <w:t>条</w:t>
      </w: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本办法自</w:t>
      </w:r>
      <w:r>
        <w:rPr>
          <w:rFonts w:hint="default" w:ascii="Times New Roman" w:hAnsi="Times New Roman" w:eastAsia="仿宋_GB2312" w:cs="Times New Roman"/>
          <w:color w:val="000000" w:themeColor="text1"/>
          <w:sz w:val="32"/>
          <w:szCs w:val="32"/>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default" w:ascii="Times New Roman" w:hAnsi="Times New Roman" w:eastAsia="仿宋_GB2312" w:cs="Times New Roman"/>
          <w:color w:val="000000" w:themeColor="text1"/>
          <w:sz w:val="32"/>
          <w:szCs w:val="32"/>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月</w:t>
      </w:r>
      <w:r>
        <w:rPr>
          <w:rFonts w:hint="default" w:ascii="Times New Roman" w:hAnsi="Times New Roman" w:eastAsia="仿宋_GB2312" w:cs="Times New Roman"/>
          <w:color w:val="000000" w:themeColor="text1"/>
          <w:sz w:val="32"/>
          <w:szCs w:val="32"/>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日起施行</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有效期</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年。</w:t>
      </w:r>
    </w:p>
    <w:p w14:paraId="7B30D2D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p>
    <w:p w14:paraId="004B9D74">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p>
    <w:sectPr>
      <w:footerReference r:id="rId3" w:type="default"/>
      <w:pgSz w:w="11906" w:h="16838"/>
      <w:pgMar w:top="1984" w:right="1701" w:bottom="1701" w:left="1701" w:header="851" w:footer="992" w:gutter="0"/>
      <w:pgNumType w:fmt="numberInDash"/>
      <w:cols w:space="0" w:num="1"/>
      <w:rtlGutter w:val="0"/>
      <w:docGrid w:type="linesAndChars" w:linePitch="285" w:charSpace="-34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89410041-AE9C-4535-809B-CB64344C8CE5}"/>
  </w:font>
  <w:font w:name="仿宋_GB2312">
    <w:panose1 w:val="02010609030101010101"/>
    <w:charset w:val="86"/>
    <w:family w:val="auto"/>
    <w:pitch w:val="default"/>
    <w:sig w:usb0="00000001" w:usb1="080E0000" w:usb2="00000000" w:usb3="00000000" w:csb0="00040000" w:csb1="00000000"/>
    <w:embedRegular r:id="rId2" w:fontKey="{B66D4E22-C526-4D8A-91C8-D27083BB80D0}"/>
  </w:font>
  <w:font w:name="方正小标宋简体">
    <w:panose1 w:val="02010600010101010101"/>
    <w:charset w:val="86"/>
    <w:family w:val="auto"/>
    <w:pitch w:val="default"/>
    <w:sig w:usb0="00000001" w:usb1="080E0000" w:usb2="00000000" w:usb3="00000000" w:csb0="00040000" w:csb1="00000000"/>
    <w:embedRegular r:id="rId3" w:fontKey="{1C867F92-5D59-49ED-B7E1-AA55B34AF889}"/>
  </w:font>
  <w:font w:name="楷体_GB2312">
    <w:panose1 w:val="02010609030101010101"/>
    <w:charset w:val="86"/>
    <w:family w:val="auto"/>
    <w:pitch w:val="default"/>
    <w:sig w:usb0="00000001" w:usb1="080E0000" w:usb2="00000000" w:usb3="00000000" w:csb0="00040000" w:csb1="00000000"/>
    <w:embedRegular r:id="rId4" w:fontKey="{F5A3AD80-450D-4CDC-8DCD-E7E1BEB9031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E6233">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C583EF">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9C583EF">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HorizontalSpacing w:val="97"/>
  <w:drawingGridVerticalSpacing w:val="143"/>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1NDA5N2U0MDA1YWE4ZTg5MjFmZTZhZjYyNTRhY2QifQ=="/>
  </w:docVars>
  <w:rsids>
    <w:rsidRoot w:val="00000000"/>
    <w:rsid w:val="111F6936"/>
    <w:rsid w:val="175956CC"/>
    <w:rsid w:val="2D0C38EC"/>
    <w:rsid w:val="2DAD3605"/>
    <w:rsid w:val="2E9279E9"/>
    <w:rsid w:val="301C0F62"/>
    <w:rsid w:val="30B07949"/>
    <w:rsid w:val="33347697"/>
    <w:rsid w:val="37F70257"/>
    <w:rsid w:val="42161ABD"/>
    <w:rsid w:val="43AA1E23"/>
    <w:rsid w:val="46DC3FAA"/>
    <w:rsid w:val="47105B49"/>
    <w:rsid w:val="4AD4205B"/>
    <w:rsid w:val="4D643155"/>
    <w:rsid w:val="4DA310DF"/>
    <w:rsid w:val="59462F7B"/>
    <w:rsid w:val="5CFD1C22"/>
    <w:rsid w:val="5D4810F0"/>
    <w:rsid w:val="60296E0D"/>
    <w:rsid w:val="60CA6AC4"/>
    <w:rsid w:val="61253C17"/>
    <w:rsid w:val="62836FAD"/>
    <w:rsid w:val="62C622F1"/>
    <w:rsid w:val="63BE035D"/>
    <w:rsid w:val="67D7456F"/>
    <w:rsid w:val="69DC69AB"/>
    <w:rsid w:val="73F76F74"/>
    <w:rsid w:val="76A1763C"/>
    <w:rsid w:val="7A867B20"/>
    <w:rsid w:val="7D1E33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3351</Words>
  <Characters>3376</Characters>
  <Lines>0</Lines>
  <Paragraphs>0</Paragraphs>
  <TotalTime>116</TotalTime>
  <ScaleCrop>false</ScaleCrop>
  <LinksUpToDate>false</LinksUpToDate>
  <CharactersWithSpaces>3428</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2025-01-09T07:06:00Z</dcterms:created>
  <dc:creator>Administrator</dc:creator>
  <cp:lastModifiedBy>摄鬼波波</cp:lastModifiedBy>
  <cp:lastPrinted>2026-10-14T03:33:00Z</cp:lastPrinted>
  <dcterms:modified xsi:type="dcterms:W3CDTF">2026-10-27T06:18:09Z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C97D65DEC8634834820DE1DDD7B24DF5_13</vt:lpwstr>
  </property>
  <property fmtid="{D5CDD505-2E9C-101B-9397-08002B2CF9AE}" pid="4" name="KSOTemplateDocerSaveRecord">
    <vt:lpwstr>eyJoZGlkIjoiYWFlNGIzNDY4N2RkZGFiZDNjMmIxOWY4MTAyYjU1Y2UiLCJ1c2VySWQiOiIyMTIwOTUyIn0=</vt:lpwstr>
  </property>
</Properties>
</file>