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540"/>
        <w:gridCol w:w="540"/>
        <w:gridCol w:w="360"/>
        <w:gridCol w:w="360"/>
        <w:gridCol w:w="4196"/>
        <w:gridCol w:w="720"/>
        <w:gridCol w:w="2036"/>
        <w:gridCol w:w="2340"/>
        <w:gridCol w:w="1868"/>
        <w:gridCol w:w="90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blHeader/>
        </w:trPr>
        <w:tc>
          <w:tcPr>
            <w:tcW w:w="14868" w:type="dxa"/>
            <w:gridSpan w:val="12"/>
            <w:tcBorders>
              <w:top w:val="nil"/>
              <w:left w:val="nil"/>
              <w:right w:val="nil"/>
            </w:tcBorders>
            <w:noWrap w:val="0"/>
            <w:vAlign w:val="center"/>
          </w:tcPr>
          <w:p>
            <w:pPr>
              <w:jc w:val="center"/>
              <w:rPr>
                <w:rFonts w:ascii="华文中宋" w:hAnsi="华文中宋" w:eastAsia="华文中宋" w:cs="宋体"/>
                <w:b/>
                <w:bCs/>
                <w:color w:val="000000"/>
                <w:sz w:val="44"/>
                <w:szCs w:val="44"/>
              </w:rPr>
            </w:pPr>
            <w:r>
              <w:rPr>
                <w:rFonts w:hint="eastAsia" w:ascii="华文中宋" w:hAnsi="华文中宋" w:eastAsia="华文中宋"/>
                <w:b/>
                <w:bCs/>
                <w:color w:val="000000"/>
                <w:sz w:val="44"/>
                <w:szCs w:val="44"/>
              </w:rPr>
              <w:t>陵川县</w:t>
            </w:r>
            <w:r>
              <w:rPr>
                <w:rFonts w:hint="eastAsia" w:ascii="华文中宋" w:hAnsi="华文中宋" w:eastAsia="华文中宋"/>
                <w:b/>
                <w:bCs/>
                <w:color w:val="000000"/>
                <w:sz w:val="44"/>
                <w:szCs w:val="44"/>
                <w:u w:val="single"/>
              </w:rPr>
              <w:t>水务局</w:t>
            </w:r>
            <w:r>
              <w:rPr>
                <w:rFonts w:hint="eastAsia" w:ascii="华文中宋" w:hAnsi="华文中宋" w:eastAsia="华文中宋"/>
                <w:b/>
                <w:bCs/>
                <w:color w:val="000000"/>
                <w:sz w:val="44"/>
                <w:szCs w:val="44"/>
              </w:rPr>
              <w:t>权力和责任清单</w:t>
            </w:r>
          </w:p>
          <w:p>
            <w:pPr>
              <w:jc w:val="both"/>
              <w:rPr>
                <w:rFonts w:hint="eastAsia" w:ascii="宋体" w:hAnsi="宋体" w:cs="宋体"/>
                <w:b/>
                <w:bCs/>
                <w:szCs w:val="21"/>
              </w:rPr>
            </w:pPr>
            <w:r>
              <w:rPr>
                <w:rFonts w:hint="eastAsia" w:ascii="宋体" w:hAnsi="宋体" w:cs="宋体"/>
                <w:b/>
                <w:bCs/>
                <w:szCs w:val="21"/>
              </w:rPr>
              <w:t xml:space="preserve">单位：陵川县水务局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blHeader/>
        </w:trPr>
        <w:tc>
          <w:tcPr>
            <w:tcW w:w="468" w:type="dxa"/>
            <w:vMerge w:val="restart"/>
            <w:noWrap w:val="0"/>
            <w:vAlign w:val="center"/>
          </w:tcPr>
          <w:p>
            <w:pPr>
              <w:jc w:val="center"/>
              <w:rPr>
                <w:rFonts w:hint="eastAsia" w:ascii="宋体" w:hAnsi="宋体" w:cs="宋体"/>
                <w:b/>
                <w:bCs/>
                <w:sz w:val="24"/>
                <w:szCs w:val="24"/>
              </w:rPr>
            </w:pPr>
            <w:r>
              <w:rPr>
                <w:rFonts w:hint="eastAsia" w:ascii="宋体" w:hAnsi="宋体" w:cs="宋体"/>
                <w:b/>
                <w:bCs/>
                <w:sz w:val="24"/>
                <w:szCs w:val="24"/>
              </w:rPr>
              <w:t>序号</w:t>
            </w:r>
          </w:p>
        </w:tc>
        <w:tc>
          <w:tcPr>
            <w:tcW w:w="5996" w:type="dxa"/>
            <w:gridSpan w:val="5"/>
            <w:noWrap w:val="0"/>
            <w:vAlign w:val="center"/>
          </w:tcPr>
          <w:p>
            <w:pPr>
              <w:jc w:val="center"/>
              <w:rPr>
                <w:rFonts w:hint="eastAsia" w:ascii="宋体" w:hAnsi="宋体" w:cs="宋体"/>
                <w:b/>
                <w:bCs/>
                <w:sz w:val="24"/>
                <w:szCs w:val="24"/>
              </w:rPr>
            </w:pPr>
            <w:r>
              <w:rPr>
                <w:rFonts w:hint="eastAsia" w:ascii="宋体" w:hAnsi="宋体" w:cs="宋体"/>
                <w:b/>
                <w:bCs/>
                <w:sz w:val="24"/>
                <w:szCs w:val="24"/>
                <w:lang w:eastAsia="zh-CN"/>
              </w:rPr>
              <w:t>权力</w:t>
            </w:r>
            <w:r>
              <w:rPr>
                <w:rFonts w:hint="eastAsia" w:ascii="宋体" w:hAnsi="宋体" w:cs="宋体"/>
                <w:b/>
                <w:bCs/>
                <w:sz w:val="24"/>
                <w:szCs w:val="24"/>
              </w:rPr>
              <w:t>清单</w:t>
            </w:r>
          </w:p>
        </w:tc>
        <w:tc>
          <w:tcPr>
            <w:tcW w:w="720" w:type="dxa"/>
            <w:vMerge w:val="restart"/>
            <w:noWrap w:val="0"/>
            <w:vAlign w:val="center"/>
          </w:tcPr>
          <w:p>
            <w:pPr>
              <w:jc w:val="center"/>
              <w:rPr>
                <w:rFonts w:hint="eastAsia" w:ascii="宋体" w:hAnsi="宋体" w:cs="宋体"/>
                <w:b/>
                <w:bCs/>
                <w:sz w:val="24"/>
                <w:szCs w:val="24"/>
              </w:rPr>
            </w:pPr>
            <w:r>
              <w:rPr>
                <w:rFonts w:hint="eastAsia" w:ascii="宋体" w:hAnsi="宋体" w:cs="宋体"/>
                <w:b/>
                <w:bCs/>
                <w:sz w:val="24"/>
                <w:szCs w:val="24"/>
              </w:rPr>
              <w:t>实施主体</w:t>
            </w:r>
          </w:p>
        </w:tc>
        <w:tc>
          <w:tcPr>
            <w:tcW w:w="7144" w:type="dxa"/>
            <w:gridSpan w:val="4"/>
            <w:noWrap w:val="0"/>
            <w:vAlign w:val="center"/>
          </w:tcPr>
          <w:p>
            <w:pPr>
              <w:jc w:val="center"/>
              <w:rPr>
                <w:rFonts w:hint="eastAsia" w:ascii="宋体" w:hAnsi="宋体" w:cs="宋体"/>
                <w:b/>
                <w:bCs/>
                <w:sz w:val="24"/>
                <w:szCs w:val="24"/>
              </w:rPr>
            </w:pPr>
            <w:r>
              <w:rPr>
                <w:rFonts w:hint="eastAsia" w:ascii="宋体" w:hAnsi="宋体" w:cs="宋体"/>
                <w:b/>
                <w:bCs/>
                <w:sz w:val="24"/>
                <w:szCs w:val="24"/>
              </w:rPr>
              <w:t>责任清单</w:t>
            </w:r>
          </w:p>
        </w:tc>
        <w:tc>
          <w:tcPr>
            <w:tcW w:w="54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trPr>
        <w:tc>
          <w:tcPr>
            <w:tcW w:w="468" w:type="dxa"/>
            <w:vMerge w:val="continue"/>
            <w:noWrap w:val="0"/>
            <w:vAlign w:val="center"/>
          </w:tcPr>
          <w:p>
            <w:pPr>
              <w:jc w:val="center"/>
              <w:rPr>
                <w:rFonts w:hint="eastAsia" w:ascii="方正小标宋简体" w:hAnsi="方正小标宋简体" w:eastAsia="方正小标宋简体" w:cs="方正小标宋简体"/>
                <w:sz w:val="44"/>
                <w:szCs w:val="44"/>
              </w:rPr>
            </w:pPr>
          </w:p>
        </w:tc>
        <w:tc>
          <w:tcPr>
            <w:tcW w:w="540" w:type="dxa"/>
            <w:vMerge w:val="restart"/>
            <w:noWrap w:val="0"/>
            <w:vAlign w:val="center"/>
          </w:tcPr>
          <w:p>
            <w:pPr>
              <w:jc w:val="center"/>
              <w:rPr>
                <w:rFonts w:hint="eastAsia" w:ascii="宋体" w:hAnsi="宋体" w:cs="宋体"/>
                <w:b/>
                <w:bCs/>
                <w:sz w:val="24"/>
                <w:szCs w:val="24"/>
              </w:rPr>
            </w:pPr>
            <w:r>
              <w:rPr>
                <w:rFonts w:hint="eastAsia" w:ascii="宋体" w:hAnsi="宋体" w:cs="宋体"/>
                <w:b/>
                <w:bCs/>
                <w:sz w:val="24"/>
                <w:szCs w:val="24"/>
              </w:rPr>
              <w:t>职权</w:t>
            </w:r>
          </w:p>
          <w:p>
            <w:pPr>
              <w:jc w:val="center"/>
              <w:rPr>
                <w:rFonts w:hint="eastAsia" w:ascii="宋体" w:hAnsi="宋体" w:cs="宋体"/>
                <w:b/>
                <w:bCs/>
                <w:sz w:val="24"/>
                <w:szCs w:val="24"/>
              </w:rPr>
            </w:pPr>
            <w:r>
              <w:rPr>
                <w:rFonts w:hint="eastAsia" w:ascii="宋体" w:hAnsi="宋体" w:cs="宋体"/>
                <w:b/>
                <w:bCs/>
                <w:sz w:val="24"/>
                <w:szCs w:val="24"/>
              </w:rPr>
              <w:t>类型</w:t>
            </w:r>
          </w:p>
        </w:tc>
        <w:tc>
          <w:tcPr>
            <w:tcW w:w="540" w:type="dxa"/>
            <w:vMerge w:val="restart"/>
            <w:noWrap w:val="0"/>
            <w:vAlign w:val="center"/>
          </w:tcPr>
          <w:p>
            <w:pPr>
              <w:jc w:val="center"/>
              <w:rPr>
                <w:rFonts w:hint="eastAsia" w:ascii="宋体" w:hAnsi="宋体" w:cs="宋体"/>
                <w:b/>
                <w:bCs/>
                <w:sz w:val="24"/>
                <w:szCs w:val="24"/>
              </w:rPr>
            </w:pPr>
            <w:r>
              <w:rPr>
                <w:rFonts w:hint="eastAsia" w:ascii="宋体" w:hAnsi="宋体" w:cs="宋体"/>
                <w:b/>
                <w:bCs/>
                <w:sz w:val="24"/>
                <w:szCs w:val="24"/>
              </w:rPr>
              <w:t>职权</w:t>
            </w:r>
          </w:p>
          <w:p>
            <w:pPr>
              <w:jc w:val="center"/>
              <w:rPr>
                <w:rFonts w:hint="eastAsia" w:ascii="宋体" w:hAnsi="宋体" w:cs="宋体"/>
                <w:b/>
                <w:bCs/>
                <w:sz w:val="24"/>
                <w:szCs w:val="24"/>
              </w:rPr>
            </w:pPr>
            <w:r>
              <w:rPr>
                <w:rFonts w:hint="eastAsia" w:ascii="宋体" w:hAnsi="宋体" w:cs="宋体"/>
                <w:b/>
                <w:bCs/>
                <w:sz w:val="24"/>
                <w:szCs w:val="24"/>
              </w:rPr>
              <w:t>编码</w:t>
            </w:r>
          </w:p>
        </w:tc>
        <w:tc>
          <w:tcPr>
            <w:tcW w:w="720" w:type="dxa"/>
            <w:gridSpan w:val="2"/>
            <w:noWrap w:val="0"/>
            <w:vAlign w:val="center"/>
          </w:tcPr>
          <w:p>
            <w:pPr>
              <w:jc w:val="center"/>
              <w:rPr>
                <w:rFonts w:hint="eastAsia" w:ascii="宋体" w:hAnsi="宋体" w:cs="宋体"/>
                <w:b/>
                <w:bCs/>
                <w:sz w:val="24"/>
                <w:szCs w:val="24"/>
              </w:rPr>
            </w:pPr>
            <w:r>
              <w:rPr>
                <w:rFonts w:hint="eastAsia" w:ascii="宋体" w:hAnsi="宋体" w:cs="宋体"/>
                <w:b/>
                <w:bCs/>
                <w:sz w:val="24"/>
                <w:szCs w:val="24"/>
              </w:rPr>
              <w:t>职权名称</w:t>
            </w:r>
          </w:p>
        </w:tc>
        <w:tc>
          <w:tcPr>
            <w:tcW w:w="4196" w:type="dxa"/>
            <w:noWrap w:val="0"/>
            <w:vAlign w:val="center"/>
          </w:tcPr>
          <w:p>
            <w:pPr>
              <w:jc w:val="center"/>
              <w:rPr>
                <w:rFonts w:hint="eastAsia" w:ascii="方正小标宋简体" w:hAnsi="方正小标宋简体" w:eastAsia="方正小标宋简体" w:cs="方正小标宋简体"/>
                <w:sz w:val="44"/>
                <w:szCs w:val="44"/>
              </w:rPr>
            </w:pPr>
            <w:r>
              <w:rPr>
                <w:rFonts w:hint="eastAsia" w:ascii="宋体" w:hAnsi="宋体" w:cs="宋体"/>
                <w:b/>
                <w:bCs/>
                <w:sz w:val="24"/>
                <w:szCs w:val="24"/>
              </w:rPr>
              <w:t>职权依据</w:t>
            </w:r>
          </w:p>
        </w:tc>
        <w:tc>
          <w:tcPr>
            <w:tcW w:w="720" w:type="dxa"/>
            <w:vMerge w:val="continue"/>
            <w:noWrap w:val="0"/>
            <w:vAlign w:val="center"/>
          </w:tcPr>
          <w:p>
            <w:pPr>
              <w:jc w:val="center"/>
              <w:rPr>
                <w:rFonts w:hint="eastAsia" w:ascii="宋体" w:hAnsi="宋体" w:cs="宋体"/>
                <w:b/>
                <w:bCs/>
                <w:sz w:val="24"/>
                <w:szCs w:val="24"/>
              </w:rPr>
            </w:pPr>
          </w:p>
        </w:tc>
        <w:tc>
          <w:tcPr>
            <w:tcW w:w="2036" w:type="dxa"/>
            <w:vMerge w:val="restart"/>
            <w:noWrap w:val="0"/>
            <w:vAlign w:val="center"/>
          </w:tcPr>
          <w:p>
            <w:pPr>
              <w:jc w:val="center"/>
              <w:rPr>
                <w:rFonts w:hint="eastAsia" w:ascii="宋体" w:hAnsi="宋体" w:cs="宋体"/>
                <w:b/>
                <w:bCs/>
                <w:sz w:val="24"/>
                <w:szCs w:val="24"/>
              </w:rPr>
            </w:pPr>
            <w:r>
              <w:rPr>
                <w:rFonts w:hint="eastAsia" w:ascii="宋体" w:hAnsi="宋体" w:cs="宋体"/>
                <w:b/>
                <w:bCs/>
                <w:sz w:val="24"/>
                <w:szCs w:val="24"/>
              </w:rPr>
              <w:t>责任事项</w:t>
            </w:r>
          </w:p>
        </w:tc>
        <w:tc>
          <w:tcPr>
            <w:tcW w:w="2340" w:type="dxa"/>
            <w:vMerge w:val="restart"/>
            <w:noWrap w:val="0"/>
            <w:vAlign w:val="center"/>
          </w:tcPr>
          <w:p>
            <w:pPr>
              <w:jc w:val="center"/>
              <w:rPr>
                <w:rFonts w:hint="eastAsia" w:ascii="宋体" w:hAnsi="宋体" w:cs="宋体"/>
                <w:b/>
                <w:bCs/>
                <w:sz w:val="24"/>
                <w:szCs w:val="24"/>
              </w:rPr>
            </w:pPr>
            <w:r>
              <w:rPr>
                <w:rFonts w:hint="eastAsia" w:ascii="宋体" w:hAnsi="宋体" w:cs="宋体"/>
                <w:b/>
                <w:bCs/>
                <w:sz w:val="24"/>
                <w:szCs w:val="24"/>
              </w:rPr>
              <w:t>责任事项依据</w:t>
            </w:r>
          </w:p>
        </w:tc>
        <w:tc>
          <w:tcPr>
            <w:tcW w:w="1868" w:type="dxa"/>
            <w:vMerge w:val="restart"/>
            <w:noWrap w:val="0"/>
            <w:vAlign w:val="center"/>
          </w:tcPr>
          <w:p>
            <w:pPr>
              <w:jc w:val="center"/>
              <w:rPr>
                <w:rFonts w:hint="eastAsia" w:ascii="宋体" w:hAnsi="宋体" w:cs="宋体"/>
                <w:b/>
                <w:bCs/>
                <w:sz w:val="24"/>
                <w:szCs w:val="24"/>
              </w:rPr>
            </w:pPr>
            <w:r>
              <w:rPr>
                <w:rFonts w:hint="eastAsia" w:ascii="宋体" w:hAnsi="宋体" w:cs="宋体"/>
                <w:b/>
                <w:bCs/>
                <w:sz w:val="24"/>
                <w:szCs w:val="24"/>
              </w:rPr>
              <w:t>追责情形</w:t>
            </w:r>
          </w:p>
        </w:tc>
        <w:tc>
          <w:tcPr>
            <w:tcW w:w="900" w:type="dxa"/>
            <w:vMerge w:val="restart"/>
            <w:noWrap w:val="0"/>
            <w:vAlign w:val="center"/>
          </w:tcPr>
          <w:p>
            <w:pPr>
              <w:jc w:val="center"/>
              <w:rPr>
                <w:rFonts w:hint="eastAsia" w:ascii="宋体" w:hAnsi="宋体" w:cs="宋体"/>
                <w:b/>
                <w:bCs/>
                <w:sz w:val="24"/>
                <w:szCs w:val="24"/>
              </w:rPr>
            </w:pPr>
            <w:r>
              <w:rPr>
                <w:rFonts w:hint="eastAsia" w:ascii="宋体" w:hAnsi="宋体" w:cs="宋体"/>
                <w:b/>
                <w:bCs/>
                <w:sz w:val="24"/>
                <w:szCs w:val="24"/>
              </w:rPr>
              <w:t>问责依据</w:t>
            </w:r>
          </w:p>
        </w:tc>
        <w:tc>
          <w:tcPr>
            <w:tcW w:w="540" w:type="dxa"/>
            <w:vMerge w:val="restart"/>
            <w:noWrap w:val="0"/>
            <w:vAlign w:val="center"/>
          </w:tcPr>
          <w:p>
            <w:pPr>
              <w:jc w:val="center"/>
              <w:rPr>
                <w:rFonts w:hint="eastAsia"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blHeader/>
        </w:trPr>
        <w:tc>
          <w:tcPr>
            <w:tcW w:w="468" w:type="dxa"/>
            <w:vMerge w:val="continue"/>
            <w:noWrap w:val="0"/>
            <w:vAlign w:val="center"/>
          </w:tcPr>
          <w:p>
            <w:pPr>
              <w:jc w:val="center"/>
              <w:rPr>
                <w:rFonts w:hint="eastAsia" w:ascii="方正小标宋简体" w:hAnsi="方正小标宋简体" w:eastAsia="方正小标宋简体" w:cs="方正小标宋简体"/>
                <w:sz w:val="44"/>
                <w:szCs w:val="44"/>
              </w:rPr>
            </w:pPr>
          </w:p>
        </w:tc>
        <w:tc>
          <w:tcPr>
            <w:tcW w:w="540" w:type="dxa"/>
            <w:vMerge w:val="continue"/>
            <w:noWrap w:val="0"/>
            <w:vAlign w:val="center"/>
          </w:tcPr>
          <w:p>
            <w:pPr>
              <w:rPr>
                <w:rFonts w:hint="eastAsia" w:ascii="宋体" w:hAnsi="宋体" w:cs="宋体"/>
                <w:b/>
                <w:bCs/>
                <w:sz w:val="24"/>
                <w:szCs w:val="24"/>
              </w:rPr>
            </w:pPr>
          </w:p>
        </w:tc>
        <w:tc>
          <w:tcPr>
            <w:tcW w:w="540" w:type="dxa"/>
            <w:vMerge w:val="continue"/>
            <w:noWrap w:val="0"/>
            <w:vAlign w:val="top"/>
          </w:tcPr>
          <w:p>
            <w:pPr>
              <w:rPr>
                <w:rFonts w:hint="eastAsia" w:ascii="宋体" w:hAnsi="宋体" w:cs="宋体"/>
                <w:b/>
                <w:bCs/>
                <w:sz w:val="24"/>
                <w:szCs w:val="24"/>
              </w:rPr>
            </w:pPr>
          </w:p>
        </w:tc>
        <w:tc>
          <w:tcPr>
            <w:tcW w:w="3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项目</w:t>
            </w:r>
          </w:p>
        </w:tc>
        <w:tc>
          <w:tcPr>
            <w:tcW w:w="3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子</w:t>
            </w:r>
          </w:p>
          <w:p>
            <w:pPr>
              <w:jc w:val="center"/>
              <w:rPr>
                <w:rFonts w:hint="eastAsia" w:ascii="宋体" w:hAnsi="宋体" w:cs="宋体"/>
                <w:b/>
                <w:bCs/>
                <w:sz w:val="24"/>
                <w:szCs w:val="24"/>
              </w:rPr>
            </w:pPr>
            <w:r>
              <w:rPr>
                <w:rFonts w:hint="eastAsia" w:ascii="宋体" w:hAnsi="宋体" w:cs="宋体"/>
                <w:b/>
                <w:bCs/>
                <w:sz w:val="24"/>
                <w:szCs w:val="24"/>
              </w:rPr>
              <w:t>项</w:t>
            </w:r>
          </w:p>
        </w:tc>
        <w:tc>
          <w:tcPr>
            <w:tcW w:w="4196" w:type="dxa"/>
            <w:noWrap w:val="0"/>
            <w:vAlign w:val="center"/>
          </w:tcPr>
          <w:p>
            <w:pPr>
              <w:rPr>
                <w:rFonts w:hint="eastAsia" w:ascii="宋体" w:hAnsi="宋体" w:cs="宋体"/>
                <w:b/>
                <w:bCs/>
                <w:sz w:val="24"/>
                <w:szCs w:val="24"/>
              </w:rPr>
            </w:pPr>
          </w:p>
        </w:tc>
        <w:tc>
          <w:tcPr>
            <w:tcW w:w="720" w:type="dxa"/>
            <w:vMerge w:val="continue"/>
            <w:noWrap w:val="0"/>
            <w:vAlign w:val="top"/>
          </w:tcPr>
          <w:p>
            <w:pPr>
              <w:rPr>
                <w:rFonts w:hint="eastAsia" w:ascii="宋体" w:hAnsi="宋体" w:cs="宋体"/>
                <w:b/>
                <w:bCs/>
                <w:sz w:val="24"/>
                <w:szCs w:val="24"/>
              </w:rPr>
            </w:pPr>
          </w:p>
        </w:tc>
        <w:tc>
          <w:tcPr>
            <w:tcW w:w="2036" w:type="dxa"/>
            <w:vMerge w:val="continue"/>
            <w:noWrap w:val="0"/>
            <w:vAlign w:val="top"/>
          </w:tcPr>
          <w:p>
            <w:pPr>
              <w:rPr>
                <w:rFonts w:hint="eastAsia" w:ascii="宋体" w:hAnsi="宋体" w:cs="宋体"/>
                <w:b/>
                <w:bCs/>
                <w:sz w:val="24"/>
                <w:szCs w:val="24"/>
              </w:rPr>
            </w:pPr>
          </w:p>
        </w:tc>
        <w:tc>
          <w:tcPr>
            <w:tcW w:w="2340" w:type="dxa"/>
            <w:vMerge w:val="continue"/>
            <w:noWrap w:val="0"/>
            <w:vAlign w:val="top"/>
          </w:tcPr>
          <w:p>
            <w:pPr>
              <w:rPr>
                <w:rFonts w:hint="eastAsia" w:ascii="宋体" w:hAnsi="宋体" w:cs="宋体"/>
                <w:b/>
                <w:bCs/>
                <w:sz w:val="24"/>
                <w:szCs w:val="24"/>
              </w:rPr>
            </w:pPr>
          </w:p>
        </w:tc>
        <w:tc>
          <w:tcPr>
            <w:tcW w:w="1868" w:type="dxa"/>
            <w:vMerge w:val="continue"/>
            <w:noWrap w:val="0"/>
            <w:vAlign w:val="top"/>
          </w:tcPr>
          <w:p>
            <w:pPr>
              <w:rPr>
                <w:rFonts w:hint="eastAsia" w:ascii="宋体" w:hAnsi="宋体" w:cs="宋体"/>
                <w:b/>
                <w:bCs/>
                <w:sz w:val="24"/>
                <w:szCs w:val="24"/>
              </w:rPr>
            </w:pPr>
          </w:p>
        </w:tc>
        <w:tc>
          <w:tcPr>
            <w:tcW w:w="900" w:type="dxa"/>
            <w:vMerge w:val="continue"/>
            <w:noWrap w:val="0"/>
            <w:vAlign w:val="top"/>
          </w:tcPr>
          <w:p>
            <w:pPr>
              <w:rPr>
                <w:rFonts w:hint="eastAsia" w:ascii="宋体" w:hAnsi="宋体" w:cs="宋体"/>
                <w:b/>
                <w:bCs/>
                <w:sz w:val="24"/>
                <w:szCs w:val="24"/>
              </w:rPr>
            </w:pPr>
          </w:p>
        </w:tc>
        <w:tc>
          <w:tcPr>
            <w:tcW w:w="540" w:type="dxa"/>
            <w:vMerge w:val="continue"/>
            <w:noWrap w:val="0"/>
            <w:vAlign w:val="top"/>
          </w:tcPr>
          <w:p>
            <w:pPr>
              <w:rPr>
                <w:rFonts w:hint="eastAsia"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trPr>
        <w:tc>
          <w:tcPr>
            <w:tcW w:w="468" w:type="dxa"/>
            <w:noWrap w:val="0"/>
            <w:vAlign w:val="center"/>
          </w:tcPr>
          <w:p>
            <w:pPr>
              <w:widowControl/>
              <w:jc w:val="center"/>
              <w:textAlignment w:val="center"/>
              <w:rPr>
                <w:rFonts w:hint="eastAsia" w:ascii="仿宋_GB2312" w:hAnsi="仿宋" w:eastAsia="仿宋_GB2312" w:cs="仿宋"/>
                <w:color w:val="000000"/>
                <w:sz w:val="24"/>
                <w:szCs w:val="24"/>
                <w:lang w:eastAsia="zh-CN"/>
              </w:rPr>
            </w:pPr>
            <w:r>
              <w:rPr>
                <w:rFonts w:hint="eastAsia" w:ascii="宋体" w:hAnsi="宋体" w:eastAsia="仿宋_GB2312" w:cs="宋体"/>
                <w:color w:val="000000"/>
                <w:kern w:val="0"/>
                <w:sz w:val="24"/>
                <w:szCs w:val="24"/>
                <w:lang w:val="en-US" w:eastAsia="zh-CN"/>
              </w:rPr>
              <w:t>1</w:t>
            </w:r>
          </w:p>
        </w:tc>
        <w:tc>
          <w:tcPr>
            <w:tcW w:w="540" w:type="dxa"/>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rPr>
              <w:t>行政处罚</w:t>
            </w:r>
          </w:p>
        </w:tc>
        <w:tc>
          <w:tcPr>
            <w:tcW w:w="540" w:type="dxa"/>
            <w:noWrap w:val="0"/>
            <w:vAlign w:val="top"/>
          </w:tcPr>
          <w:p>
            <w:pPr>
              <w:widowControl/>
              <w:jc w:val="center"/>
              <w:textAlignment w:val="center"/>
              <w:rPr>
                <w:rFonts w:hint="eastAsia" w:ascii="宋体" w:hAnsi="宋体" w:cs="宋体"/>
                <w:color w:val="000000"/>
                <w:kern w:val="0"/>
                <w:sz w:val="24"/>
                <w:szCs w:val="24"/>
              </w:rPr>
            </w:pPr>
          </w:p>
        </w:tc>
        <w:tc>
          <w:tcPr>
            <w:tcW w:w="720" w:type="dxa"/>
            <w:gridSpan w:val="2"/>
            <w:noWrap w:val="0"/>
            <w:vAlign w:val="center"/>
          </w:tcPr>
          <w:p>
            <w:pPr>
              <w:widowControl/>
              <w:jc w:val="left"/>
              <w:textAlignment w:val="center"/>
              <w:rPr>
                <w:rFonts w:hint="eastAsia" w:ascii="仿宋_GB2312" w:hAnsi="宋体" w:eastAsia="仿宋_GB2312"/>
                <w:sz w:val="24"/>
                <w:szCs w:val="24"/>
              </w:rPr>
            </w:pPr>
            <w:r>
              <w:rPr>
                <w:rFonts w:hint="eastAsia" w:ascii="仿宋_GB2312" w:hAnsi="宋体" w:eastAsia="仿宋_GB2312" w:cs="仿宋_GB2312"/>
                <w:color w:val="000000"/>
                <w:kern w:val="0"/>
                <w:sz w:val="24"/>
                <w:szCs w:val="24"/>
              </w:rPr>
              <w:t>对利用水域从事旅游开发不符合水功能计划要求的处罚</w:t>
            </w:r>
          </w:p>
        </w:tc>
        <w:tc>
          <w:tcPr>
            <w:tcW w:w="4196" w:type="dxa"/>
            <w:noWrap w:val="0"/>
            <w:vAlign w:val="center"/>
          </w:tcPr>
          <w:p>
            <w:pPr>
              <w:widowControl/>
              <w:spacing w:before="156" w:beforeLines="50"/>
              <w:jc w:val="left"/>
              <w:textAlignment w:val="center"/>
              <w:rPr>
                <w:rFonts w:hint="eastAsia"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【地方性法规】 </w:t>
            </w:r>
            <w:bookmarkStart w:id="0" w:name="_GoBack"/>
            <w:bookmarkEnd w:id="0"/>
            <w:r>
              <w:rPr>
                <w:rFonts w:hint="eastAsia" w:ascii="仿宋_GB2312" w:hAnsi="宋体" w:eastAsia="仿宋_GB2312" w:cs="仿宋_GB2312"/>
                <w:color w:val="000000"/>
                <w:kern w:val="0"/>
                <w:szCs w:val="21"/>
              </w:rPr>
              <w:t xml:space="preserve"> 《山西省水资源管理条例》</w:t>
            </w:r>
          </w:p>
          <w:p>
            <w:pPr>
              <w:widowControl/>
              <w:spacing w:before="156" w:beforeLines="50"/>
              <w:jc w:val="left"/>
              <w:textAlignment w:val="center"/>
              <w:rPr>
                <w:rFonts w:hint="eastAsia"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    第五十四条　违反本条例第二十四条规定，利用水域从事旅游开发不符合水功能区划要求的，由县级以上人民政府水行政主管部门责令停止违法行为，并采取补救措施。</w:t>
            </w:r>
          </w:p>
        </w:tc>
        <w:tc>
          <w:tcPr>
            <w:tcW w:w="720" w:type="dxa"/>
            <w:noWrap w:val="0"/>
            <w:vAlign w:val="center"/>
          </w:tcPr>
          <w:p>
            <w:pPr>
              <w:widowControl/>
              <w:jc w:val="center"/>
              <w:textAlignment w:val="center"/>
              <w:rPr>
                <w:rFonts w:hint="eastAsia" w:ascii="仿宋_GB2312" w:eastAsia="仿宋_GB2312"/>
                <w:szCs w:val="21"/>
              </w:rPr>
            </w:pPr>
            <w:r>
              <w:rPr>
                <w:rFonts w:hint="eastAsia" w:ascii="仿宋_GB2312" w:hAnsi="宋体" w:eastAsia="仿宋_GB2312" w:cs="仿宋_GB2312"/>
                <w:color w:val="000000"/>
                <w:kern w:val="0"/>
                <w:szCs w:val="21"/>
              </w:rPr>
              <w:t>水政监察大队</w:t>
            </w:r>
          </w:p>
        </w:tc>
        <w:tc>
          <w:tcPr>
            <w:tcW w:w="2036" w:type="dxa"/>
            <w:noWrap w:val="0"/>
            <w:vAlign w:val="center"/>
          </w:tcPr>
          <w:p>
            <w:pPr>
              <w:widowControl/>
              <w:spacing w:line="280" w:lineRule="exact"/>
              <w:jc w:val="left"/>
              <w:textAlignment w:val="center"/>
              <w:rPr>
                <w:rFonts w:hint="eastAsia" w:ascii="仿宋_GB2312" w:eastAsia="仿宋_GB2312"/>
                <w:szCs w:val="21"/>
              </w:rPr>
            </w:pPr>
            <w:r>
              <w:rPr>
                <w:rFonts w:hint="eastAsia" w:ascii="仿宋_GB2312" w:hAnsi="宋体" w:eastAsia="仿宋_GB2312" w:cs="仿宋_GB2312"/>
                <w:color w:val="000000"/>
                <w:kern w:val="0"/>
                <w:szCs w:val="21"/>
              </w:rPr>
              <w:t>1、受理阶段责任：对经举报、交办、移送的依据管辖范围受理（不予受理的应当告知理由）；</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2、调查阶段责任：对照事件查找标准，对书面材料进行审核，织组现场调查走访，（调查阶段要保存影响资料），对重大事件逐级上报，不得隐瞒事件内容；</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3、决定阶段责任：作出行政处罚或者不予行政处罚决定，法定告知；需移交有关部门的进行移交；需申请强制执行的提出申请。</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4、送达阶段责任：未及时送达行政处罚决定文件等。</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5、事后监管责任：开展定期和不定期检查。其他法律法规规章文件规定应履行。</w:t>
            </w:r>
          </w:p>
        </w:tc>
        <w:tc>
          <w:tcPr>
            <w:tcW w:w="2340" w:type="dxa"/>
            <w:noWrap w:val="0"/>
            <w:vAlign w:val="center"/>
          </w:tcPr>
          <w:p>
            <w:pPr>
              <w:widowControl/>
              <w:spacing w:line="280" w:lineRule="exact"/>
              <w:jc w:val="left"/>
              <w:textAlignment w:val="center"/>
              <w:rPr>
                <w:rFonts w:hint="eastAsia" w:ascii="仿宋_GB2312" w:eastAsia="仿宋_GB2312"/>
                <w:szCs w:val="21"/>
              </w:rPr>
            </w:pPr>
            <w:r>
              <w:rPr>
                <w:rFonts w:hint="eastAsia" w:ascii="仿宋_GB2312" w:hAnsi="宋体" w:eastAsia="仿宋_GB2312" w:cs="仿宋_GB2312"/>
                <w:color w:val="000000"/>
                <w:kern w:val="0"/>
                <w:szCs w:val="21"/>
              </w:rPr>
              <w:t>1.受理：《行政处罚法》第三十六条 《水行政处罚实施办法》第二十条、第二十四条</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2.调查：《行政处罚法》第三十六条、第三十七条 《水行政处罚实施办法》第二十五条、第二十六条</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3.决定：《行政处罚法》第三十八条、第三十九条 《水行政处罚实施办法》第三十条、第三十一条、第三十二条</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4.送达：《行政处罚法》第四十条 《水行政处罚实施办法》第三十三条</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5.事后监管：《行政处罚法》第四十四条、第五十一条 《水行政处罚实施办法》第五十一条</w:t>
            </w:r>
          </w:p>
        </w:tc>
        <w:tc>
          <w:tcPr>
            <w:tcW w:w="1868" w:type="dxa"/>
            <w:noWrap w:val="0"/>
            <w:vAlign w:val="center"/>
          </w:tcPr>
          <w:p>
            <w:pPr>
              <w:widowControl/>
              <w:spacing w:line="240" w:lineRule="exact"/>
              <w:jc w:val="left"/>
              <w:textAlignment w:val="center"/>
              <w:rPr>
                <w:rFonts w:hint="eastAsia" w:ascii="仿宋_GB2312" w:eastAsia="仿宋_GB2312"/>
                <w:szCs w:val="21"/>
              </w:rPr>
            </w:pPr>
            <w:r>
              <w:rPr>
                <w:rFonts w:hint="eastAsia" w:ascii="仿宋_GB2312" w:hAnsi="宋体" w:eastAsia="仿宋_GB2312" w:cs="仿宋_GB2312"/>
                <w:color w:val="000000"/>
                <w:kern w:val="0"/>
                <w:szCs w:val="21"/>
              </w:rPr>
              <w:t>有下列行为之一的，应当追究相应的行政执法责任：</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1、无法定处罚依据和事实依据实施行政处罚的；</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2、委托、指派不具备法定资格的组织、人员实施行政处罚的；</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3、擅自设定行政处罚或者改变行政处罚种类、幅度的；</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4、对当事人同一违法行为给予两次以上罚款的；</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5、违反“罚缴分离”规定，擅自收取罚款的，或者不开具罚款单据的；</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6、下达、变相下达罚没指标，或者对依法应当处罚的违法行为不予处罚的；</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7、依法应移交司法机关处理而没有移交以及以行政处罚代替刑事处罚的；</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8、依法应当组织听证而不组织听证的；</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9、重大行政处罚按规定标准应当报送备案而不报送备案的；</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10、行政处罚显失公正的；</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11、其它违反行政处罚规定的行为。</w:t>
            </w:r>
          </w:p>
        </w:tc>
        <w:tc>
          <w:tcPr>
            <w:tcW w:w="900" w:type="dxa"/>
            <w:noWrap w:val="0"/>
            <w:vAlign w:val="center"/>
          </w:tcPr>
          <w:p>
            <w:pPr>
              <w:widowControl/>
              <w:jc w:val="left"/>
              <w:textAlignment w:val="center"/>
              <w:rPr>
                <w:rFonts w:hint="eastAsia" w:ascii="仿宋_GB2312" w:eastAsia="仿宋_GB2312"/>
                <w:szCs w:val="21"/>
              </w:rPr>
            </w:pPr>
            <w:r>
              <w:rPr>
                <w:rFonts w:hint="eastAsia" w:ascii="仿宋_GB2312" w:hAnsi="宋体" w:eastAsia="仿宋_GB2312" w:cs="仿宋_GB2312"/>
                <w:color w:val="000000"/>
                <w:kern w:val="0"/>
                <w:szCs w:val="21"/>
              </w:rPr>
              <w:t>【法律】《中华人民共和国行政处罚法》第五十五条，第五十八条，第六十条，第六十一条，第六十二条</w:t>
            </w:r>
          </w:p>
        </w:tc>
        <w:tc>
          <w:tcPr>
            <w:tcW w:w="540" w:type="dxa"/>
            <w:noWrap w:val="0"/>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trPr>
        <w:tc>
          <w:tcPr>
            <w:tcW w:w="468" w:type="dxa"/>
            <w:noWrap w:val="0"/>
            <w:vAlign w:val="center"/>
          </w:tcPr>
          <w:p>
            <w:pPr>
              <w:widowControl/>
              <w:jc w:val="center"/>
              <w:textAlignment w:val="center"/>
              <w:rPr>
                <w:rFonts w:hint="eastAsia" w:ascii="仿宋_GB2312" w:hAnsi="仿宋" w:eastAsia="仿宋_GB2312" w:cs="仿宋"/>
                <w:color w:val="000000"/>
                <w:sz w:val="24"/>
                <w:szCs w:val="24"/>
                <w:lang w:eastAsia="zh-CN"/>
              </w:rPr>
            </w:pPr>
            <w:r>
              <w:rPr>
                <w:rFonts w:hint="eastAsia" w:ascii="宋体" w:hAnsi="宋体" w:eastAsia="仿宋_GB2312" w:cs="宋体"/>
                <w:color w:val="000000"/>
                <w:kern w:val="0"/>
                <w:sz w:val="24"/>
                <w:szCs w:val="24"/>
                <w:lang w:val="en-US" w:eastAsia="zh-CN"/>
              </w:rPr>
              <w:t>2</w:t>
            </w:r>
          </w:p>
        </w:tc>
        <w:tc>
          <w:tcPr>
            <w:tcW w:w="540" w:type="dxa"/>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rPr>
              <w:t>行政处罚</w:t>
            </w:r>
          </w:p>
        </w:tc>
        <w:tc>
          <w:tcPr>
            <w:tcW w:w="540" w:type="dxa"/>
            <w:noWrap w:val="0"/>
            <w:vAlign w:val="top"/>
          </w:tcPr>
          <w:p>
            <w:pPr>
              <w:widowControl/>
              <w:jc w:val="center"/>
              <w:textAlignment w:val="center"/>
              <w:rPr>
                <w:rFonts w:hint="eastAsia" w:ascii="宋体" w:hAnsi="宋体" w:cs="宋体"/>
                <w:color w:val="000000"/>
                <w:kern w:val="0"/>
                <w:sz w:val="24"/>
                <w:szCs w:val="24"/>
              </w:rPr>
            </w:pPr>
          </w:p>
        </w:tc>
        <w:tc>
          <w:tcPr>
            <w:tcW w:w="720" w:type="dxa"/>
            <w:gridSpan w:val="2"/>
            <w:noWrap w:val="0"/>
            <w:vAlign w:val="center"/>
          </w:tcPr>
          <w:p>
            <w:pPr>
              <w:widowControl/>
              <w:jc w:val="left"/>
              <w:textAlignment w:val="center"/>
              <w:rPr>
                <w:rFonts w:hint="eastAsia" w:ascii="仿宋_GB2312" w:hAnsi="宋体" w:eastAsia="仿宋_GB2312"/>
                <w:sz w:val="24"/>
                <w:szCs w:val="24"/>
              </w:rPr>
            </w:pPr>
            <w:r>
              <w:rPr>
                <w:rFonts w:hint="eastAsia" w:ascii="仿宋_GB2312" w:hAnsi="宋体" w:eastAsia="仿宋_GB2312" w:cs="仿宋_GB2312"/>
                <w:color w:val="000000"/>
                <w:kern w:val="0"/>
                <w:sz w:val="24"/>
                <w:szCs w:val="24"/>
              </w:rPr>
              <w:t>对损坏水工程或在水工程保护范围内从事危害水工程安全的行为的处罚</w:t>
            </w:r>
          </w:p>
        </w:tc>
        <w:tc>
          <w:tcPr>
            <w:tcW w:w="4196" w:type="dxa"/>
            <w:noWrap w:val="0"/>
            <w:vAlign w:val="center"/>
          </w:tcPr>
          <w:p>
            <w:pPr>
              <w:widowControl/>
              <w:spacing w:before="156" w:beforeLines="50"/>
              <w:jc w:val="left"/>
              <w:textAlignment w:val="center"/>
              <w:rPr>
                <w:rFonts w:hint="eastAsia"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【法律】  《中华人民共和国水法》</w:t>
            </w:r>
          </w:p>
          <w:p>
            <w:pPr>
              <w:widowControl/>
              <w:spacing w:before="156" w:beforeLines="50"/>
              <w:jc w:val="left"/>
              <w:textAlignment w:val="center"/>
              <w:rPr>
                <w:rFonts w:hint="eastAsia"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    第七十二条：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条例的，由公安机关依法给予治安管理处罚；给他人造成损失的，依法承担赔偿责任：①侵占、毁坏水工程及堤防、护岸等有关设施，毁坏防汛、水文监测、水文地质监测设施的；②在水工程保护范围内，从事影响水工程运行和危害水工程安全的爆破、打井、采石、取土等活动的。</w:t>
            </w:r>
          </w:p>
          <w:p>
            <w:pPr>
              <w:widowControl/>
              <w:spacing w:before="156" w:beforeLines="50"/>
              <w:ind w:firstLine="420" w:firstLineChars="200"/>
              <w:jc w:val="left"/>
              <w:textAlignment w:val="center"/>
              <w:rPr>
                <w:rFonts w:hint="eastAsia"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第四十五条：违反本条例规定，有下列行为之一的，县级以上地方人民政府河道主管机关除责令其纠正违法行为、赔偿损失、采取补救措施外，可以并处警告、罚款；应当给予治安管理处罚的，按照《中华人民共和国治安管理处罚条例》的规定处罚；构成犯罪的，依法追究刑事责任：①损毁堤防、护岸、闸坝、水工程建筑物，损毁防汛设施、水文监测和测量设施、河岸地质监测设施以及通信照明等设施；②在堤防安全保护区内进行打井、钻探、爆破、挖筑鱼塘、采石、取土等危害堤防安全的活动的；③非管理人员操作河道上的涵闸闸门或者干扰河道管理单位正常工作的。</w:t>
            </w:r>
          </w:p>
        </w:tc>
        <w:tc>
          <w:tcPr>
            <w:tcW w:w="720" w:type="dxa"/>
            <w:noWrap w:val="0"/>
            <w:vAlign w:val="center"/>
          </w:tcPr>
          <w:p>
            <w:pPr>
              <w:widowControl/>
              <w:jc w:val="center"/>
              <w:textAlignment w:val="center"/>
              <w:rPr>
                <w:rFonts w:hint="eastAsia" w:ascii="仿宋_GB2312" w:eastAsia="仿宋_GB2312"/>
                <w:szCs w:val="21"/>
              </w:rPr>
            </w:pPr>
            <w:r>
              <w:rPr>
                <w:rFonts w:hint="eastAsia" w:ascii="仿宋_GB2312" w:hAnsi="宋体" w:eastAsia="仿宋_GB2312" w:cs="仿宋_GB2312"/>
                <w:kern w:val="0"/>
                <w:szCs w:val="21"/>
              </w:rPr>
              <w:t>陵川县水务局水政监察大队</w:t>
            </w:r>
          </w:p>
        </w:tc>
        <w:tc>
          <w:tcPr>
            <w:tcW w:w="2036" w:type="dxa"/>
            <w:noWrap w:val="0"/>
            <w:vAlign w:val="center"/>
          </w:tcPr>
          <w:p>
            <w:pPr>
              <w:widowControl/>
              <w:spacing w:line="280" w:lineRule="exact"/>
              <w:jc w:val="left"/>
              <w:textAlignment w:val="center"/>
              <w:rPr>
                <w:rFonts w:hint="eastAsia" w:ascii="仿宋_GB2312" w:eastAsia="仿宋_GB2312"/>
                <w:szCs w:val="21"/>
              </w:rPr>
            </w:pPr>
            <w:r>
              <w:rPr>
                <w:rFonts w:hint="eastAsia" w:ascii="仿宋_GB2312" w:hAnsi="宋体" w:eastAsia="仿宋_GB2312" w:cs="仿宋_GB2312"/>
                <w:color w:val="000000"/>
                <w:kern w:val="0"/>
                <w:szCs w:val="21"/>
              </w:rPr>
              <w:t>1、受理阶段责任：对经举报、交办、移送的依据管辖范围受理（不予受理的应当告知理由）；</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2、调查阶段责任：对照事件查找标准，对书面材料进行审核，织组现场调查走访，（调查阶段要保存影响资料），对重大事件逐级上报，不得隐瞒事件内容；</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3、决定阶段责任：作出行政处罚或者不予行政处罚决定，法定告知；需移交有关部门的进行移交；需申请强制执行的提出申请。</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4、送达阶段责任：未及时送达行政处罚决定文件等。</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5、事后监管责任：开展定期和不定期检查。其他法律法规规章文件规定应履行。</w:t>
            </w:r>
          </w:p>
        </w:tc>
        <w:tc>
          <w:tcPr>
            <w:tcW w:w="2340" w:type="dxa"/>
            <w:noWrap w:val="0"/>
            <w:vAlign w:val="center"/>
          </w:tcPr>
          <w:p>
            <w:pPr>
              <w:widowControl/>
              <w:spacing w:line="280" w:lineRule="exact"/>
              <w:jc w:val="left"/>
              <w:textAlignment w:val="center"/>
              <w:rPr>
                <w:rFonts w:hint="eastAsia" w:ascii="仿宋_GB2312" w:eastAsia="仿宋_GB2312"/>
                <w:szCs w:val="21"/>
              </w:rPr>
            </w:pPr>
            <w:r>
              <w:rPr>
                <w:rFonts w:hint="eastAsia" w:ascii="仿宋_GB2312" w:hAnsi="宋体" w:eastAsia="仿宋_GB2312" w:cs="仿宋_GB2312"/>
                <w:color w:val="000000"/>
                <w:kern w:val="0"/>
                <w:szCs w:val="21"/>
              </w:rPr>
              <w:t>1.受理：《行政处罚法》第</w:t>
            </w:r>
            <w:r>
              <w:rPr>
                <w:rFonts w:hint="eastAsia" w:ascii="仿宋_GB2312" w:hAnsi="宋体" w:eastAsia="仿宋_GB2312" w:cs="仿宋_GB2312"/>
                <w:color w:val="000000"/>
                <w:kern w:val="0"/>
                <w:szCs w:val="21"/>
                <w:lang w:eastAsia="zh-CN"/>
              </w:rPr>
              <w:t>二十二</w:t>
            </w:r>
            <w:r>
              <w:rPr>
                <w:rFonts w:hint="eastAsia" w:ascii="仿宋_GB2312" w:hAnsi="宋体" w:eastAsia="仿宋_GB2312" w:cs="仿宋_GB2312"/>
                <w:color w:val="000000"/>
                <w:kern w:val="0"/>
                <w:szCs w:val="21"/>
              </w:rPr>
              <w:t>条</w:t>
            </w:r>
            <w:r>
              <w:rPr>
                <w:rFonts w:hint="eastAsia" w:ascii="仿宋_GB2312" w:hAnsi="宋体" w:eastAsia="仿宋_GB2312" w:cs="仿宋_GB2312"/>
                <w:color w:val="000000"/>
                <w:kern w:val="0"/>
                <w:szCs w:val="21"/>
                <w:lang w:eastAsia="zh-CN"/>
              </w:rPr>
              <w:t>、第二十三条</w:t>
            </w:r>
            <w:r>
              <w:rPr>
                <w:rFonts w:hint="eastAsia" w:ascii="仿宋_GB2312" w:hAnsi="宋体" w:eastAsia="仿宋_GB2312" w:cs="仿宋_GB2312"/>
                <w:color w:val="000000"/>
                <w:kern w:val="0"/>
                <w:szCs w:val="21"/>
              </w:rPr>
              <w:t xml:space="preserve"> 《水行政处罚实施办法》第二十条、第二十四条</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2.调查：《行政处罚法》第</w:t>
            </w:r>
            <w:r>
              <w:rPr>
                <w:rFonts w:hint="eastAsia" w:ascii="仿宋_GB2312" w:hAnsi="宋体" w:eastAsia="仿宋_GB2312" w:cs="仿宋_GB2312"/>
                <w:color w:val="000000"/>
                <w:kern w:val="0"/>
                <w:szCs w:val="21"/>
                <w:lang w:eastAsia="zh-CN"/>
              </w:rPr>
              <w:t>五十四</w:t>
            </w:r>
            <w:r>
              <w:rPr>
                <w:rFonts w:hint="eastAsia" w:ascii="仿宋_GB2312" w:hAnsi="宋体" w:eastAsia="仿宋_GB2312" w:cs="仿宋_GB2312"/>
                <w:color w:val="000000"/>
                <w:kern w:val="0"/>
                <w:szCs w:val="21"/>
              </w:rPr>
              <w:t>条、第</w:t>
            </w:r>
            <w:r>
              <w:rPr>
                <w:rFonts w:hint="eastAsia" w:ascii="仿宋_GB2312" w:hAnsi="宋体" w:eastAsia="仿宋_GB2312" w:cs="仿宋_GB2312"/>
                <w:color w:val="000000"/>
                <w:kern w:val="0"/>
                <w:szCs w:val="21"/>
                <w:lang w:eastAsia="zh-CN"/>
              </w:rPr>
              <w:t>五十五</w:t>
            </w:r>
            <w:r>
              <w:rPr>
                <w:rFonts w:hint="eastAsia" w:ascii="仿宋_GB2312" w:hAnsi="宋体" w:eastAsia="仿宋_GB2312" w:cs="仿宋_GB2312"/>
                <w:color w:val="000000"/>
                <w:kern w:val="0"/>
                <w:szCs w:val="21"/>
              </w:rPr>
              <w:t>条</w:t>
            </w:r>
            <w:r>
              <w:rPr>
                <w:rFonts w:hint="eastAsia" w:ascii="仿宋_GB2312" w:hAnsi="宋体" w:eastAsia="仿宋_GB2312" w:cs="仿宋_GB2312"/>
                <w:color w:val="000000"/>
                <w:kern w:val="0"/>
                <w:szCs w:val="21"/>
                <w:lang w:eastAsia="zh-CN"/>
              </w:rPr>
              <w:t>、第五十六条</w:t>
            </w:r>
            <w:r>
              <w:rPr>
                <w:rFonts w:hint="eastAsia" w:ascii="仿宋_GB2312" w:hAnsi="宋体" w:eastAsia="仿宋_GB2312" w:cs="仿宋_GB2312"/>
                <w:color w:val="000000"/>
                <w:kern w:val="0"/>
                <w:szCs w:val="21"/>
              </w:rPr>
              <w:t xml:space="preserve"> 《水行政处罚实施办法》第二十五条、第二十六条</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3.决定：《行政处罚法》第</w:t>
            </w:r>
            <w:r>
              <w:rPr>
                <w:rFonts w:hint="eastAsia" w:ascii="仿宋_GB2312" w:hAnsi="宋体" w:eastAsia="仿宋_GB2312" w:cs="仿宋_GB2312"/>
                <w:color w:val="000000"/>
                <w:kern w:val="0"/>
                <w:szCs w:val="21"/>
                <w:lang w:eastAsia="zh-CN"/>
              </w:rPr>
              <w:t>五十七</w:t>
            </w:r>
            <w:r>
              <w:rPr>
                <w:rFonts w:hint="eastAsia" w:ascii="仿宋_GB2312" w:hAnsi="宋体" w:eastAsia="仿宋_GB2312" w:cs="仿宋_GB2312"/>
                <w:color w:val="000000"/>
                <w:kern w:val="0"/>
                <w:szCs w:val="21"/>
              </w:rPr>
              <w:t>条《水行政处罚实施办法》第三十条、第三十一条、第三十二条</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4.送达：《行政处罚法》第</w:t>
            </w:r>
            <w:r>
              <w:rPr>
                <w:rFonts w:hint="eastAsia" w:ascii="仿宋_GB2312" w:hAnsi="宋体" w:eastAsia="仿宋_GB2312" w:cs="仿宋_GB2312"/>
                <w:color w:val="000000"/>
                <w:kern w:val="0"/>
                <w:szCs w:val="21"/>
                <w:lang w:eastAsia="zh-CN"/>
              </w:rPr>
              <w:t>六十一</w:t>
            </w:r>
            <w:r>
              <w:rPr>
                <w:rFonts w:hint="eastAsia" w:ascii="仿宋_GB2312" w:hAnsi="宋体" w:eastAsia="仿宋_GB2312" w:cs="仿宋_GB2312"/>
                <w:color w:val="000000"/>
                <w:kern w:val="0"/>
                <w:szCs w:val="21"/>
              </w:rPr>
              <w:t>条 《水行政处罚实施办法》第三十三条</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5.事后监管：《水行政处罚实施办法》第五十一条</w:t>
            </w:r>
          </w:p>
        </w:tc>
        <w:tc>
          <w:tcPr>
            <w:tcW w:w="1868" w:type="dxa"/>
            <w:noWrap w:val="0"/>
            <w:vAlign w:val="center"/>
          </w:tcPr>
          <w:p>
            <w:pPr>
              <w:widowControl/>
              <w:spacing w:line="240" w:lineRule="exact"/>
              <w:jc w:val="left"/>
              <w:textAlignment w:val="center"/>
              <w:rPr>
                <w:rFonts w:hint="eastAsia" w:ascii="仿宋_GB2312" w:eastAsia="仿宋_GB2312"/>
                <w:szCs w:val="21"/>
              </w:rPr>
            </w:pPr>
            <w:r>
              <w:rPr>
                <w:rFonts w:hint="eastAsia" w:ascii="仿宋_GB2312" w:hAnsi="宋体" w:eastAsia="仿宋_GB2312" w:cs="仿宋_GB2312"/>
                <w:color w:val="000000"/>
                <w:kern w:val="0"/>
                <w:szCs w:val="21"/>
              </w:rPr>
              <w:t>有下列行为之一的，应当追究相应的行政执法责任：</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1、无法定处罚依据和事实依据实施行政处罚的；</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2、委托、指派不具备法定资格的组织、人员实施行政处罚的；</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3、擅自设定行政处罚或者改变行政处罚种类、幅度的；</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4、对当事人同一违法行为给予两次以上罚款的；</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5、违反“罚缴分离”规定，擅自收取罚款的，或者不开具罚款单据的；</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6、下达、变相下达罚没指标，或者对依法应当处罚的违法行为不予处罚的；</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7、依法应移交司法机关处理而没有移交以及以行政处罚代替刑事处罚的；</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8、依法应当组织听证而不组织听证的；</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9、重大行政处罚按规定标准应当报送备案而不报送备案的；</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10、行政处罚显失公正的；</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11、其它违反行政处罚规定的行为。</w:t>
            </w:r>
          </w:p>
        </w:tc>
        <w:tc>
          <w:tcPr>
            <w:tcW w:w="900" w:type="dxa"/>
            <w:noWrap w:val="0"/>
            <w:vAlign w:val="center"/>
          </w:tcPr>
          <w:p>
            <w:pPr>
              <w:widowControl/>
              <w:jc w:val="left"/>
              <w:textAlignment w:val="center"/>
              <w:rPr>
                <w:rFonts w:hint="eastAsia"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【法律】《中华人民共和国行政处罚法》第五十五、第五十六条、第五十七条、第五十八条、第五十九条、第六十条、第六十一条、第六十二条</w:t>
            </w:r>
          </w:p>
          <w:p>
            <w:pPr>
              <w:widowControl/>
              <w:jc w:val="left"/>
              <w:textAlignment w:val="center"/>
              <w:rPr>
                <w:rFonts w:hint="eastAsia"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【法律】《中华人民共和国水土保持法》第四十七条</w:t>
            </w:r>
          </w:p>
        </w:tc>
        <w:tc>
          <w:tcPr>
            <w:tcW w:w="540" w:type="dxa"/>
            <w:noWrap w:val="0"/>
            <w:vAlign w:val="center"/>
          </w:tcPr>
          <w:p>
            <w:pPr>
              <w:widowControl/>
              <w:jc w:val="left"/>
              <w:textAlignment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trPr>
        <w:tc>
          <w:tcPr>
            <w:tcW w:w="468" w:type="dxa"/>
            <w:noWrap w:val="0"/>
            <w:vAlign w:val="center"/>
          </w:tcPr>
          <w:p>
            <w:pPr>
              <w:widowControl/>
              <w:jc w:val="center"/>
              <w:textAlignment w:val="center"/>
              <w:rPr>
                <w:rFonts w:hint="eastAsia" w:ascii="仿宋_GB2312" w:hAnsi="宋体" w:eastAsia="仿宋_GB2312" w:cs="仿宋_GB2312"/>
                <w:color w:val="000000"/>
                <w:kern w:val="0"/>
                <w:sz w:val="24"/>
                <w:szCs w:val="24"/>
                <w:lang w:eastAsia="zh-CN"/>
              </w:rPr>
            </w:pPr>
            <w:r>
              <w:rPr>
                <w:rFonts w:hint="eastAsia" w:ascii="宋体" w:hAnsi="宋体" w:eastAsia="仿宋_GB2312" w:cs="宋体"/>
                <w:color w:val="000000"/>
                <w:kern w:val="0"/>
                <w:sz w:val="24"/>
                <w:szCs w:val="24"/>
                <w:lang w:val="en-US" w:eastAsia="zh-CN"/>
              </w:rPr>
              <w:t>3</w:t>
            </w:r>
          </w:p>
        </w:tc>
        <w:tc>
          <w:tcPr>
            <w:tcW w:w="540" w:type="dxa"/>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rPr>
              <w:t>行政裁决</w:t>
            </w:r>
          </w:p>
        </w:tc>
        <w:tc>
          <w:tcPr>
            <w:tcW w:w="540" w:type="dxa"/>
            <w:noWrap w:val="0"/>
            <w:vAlign w:val="top"/>
          </w:tcPr>
          <w:p>
            <w:pPr>
              <w:widowControl/>
              <w:jc w:val="center"/>
              <w:textAlignment w:val="center"/>
              <w:rPr>
                <w:rFonts w:hint="eastAsia" w:ascii="宋体" w:hAnsi="宋体" w:cs="宋体"/>
                <w:color w:val="000000"/>
                <w:kern w:val="0"/>
                <w:sz w:val="24"/>
                <w:szCs w:val="24"/>
              </w:rPr>
            </w:pPr>
          </w:p>
        </w:tc>
        <w:tc>
          <w:tcPr>
            <w:tcW w:w="720" w:type="dxa"/>
            <w:gridSpan w:val="2"/>
            <w:noWrap w:val="0"/>
            <w:vAlign w:val="center"/>
          </w:tcPr>
          <w:p>
            <w:pPr>
              <w:widowControl/>
              <w:jc w:val="left"/>
              <w:textAlignment w:val="center"/>
              <w:rPr>
                <w:rFonts w:hint="eastAsia" w:ascii="仿宋_GB2312" w:hAnsi="宋体" w:eastAsia="仿宋_GB2312"/>
                <w:sz w:val="24"/>
                <w:szCs w:val="24"/>
              </w:rPr>
            </w:pPr>
            <w:r>
              <w:rPr>
                <w:rFonts w:hint="eastAsia" w:ascii="仿宋_GB2312" w:hAnsi="宋体" w:eastAsia="仿宋_GB2312" w:cs="仿宋_GB2312"/>
                <w:color w:val="000000"/>
                <w:kern w:val="0"/>
                <w:sz w:val="24"/>
                <w:szCs w:val="24"/>
              </w:rPr>
              <w:t>水事纠纷裁决</w:t>
            </w:r>
          </w:p>
        </w:tc>
        <w:tc>
          <w:tcPr>
            <w:tcW w:w="4196" w:type="dxa"/>
            <w:noWrap w:val="0"/>
            <w:vAlign w:val="center"/>
          </w:tcPr>
          <w:p>
            <w:pPr>
              <w:widowControl/>
              <w:spacing w:before="156" w:beforeLines="50"/>
              <w:jc w:val="left"/>
              <w:textAlignment w:val="center"/>
              <w:rPr>
                <w:rFonts w:hint="eastAsia"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【法律】　《中华人民共和国水法》</w:t>
            </w:r>
          </w:p>
          <w:p>
            <w:pPr>
              <w:widowControl/>
              <w:spacing w:before="156" w:beforeLines="50"/>
              <w:ind w:firstLine="420" w:firstLineChars="200"/>
              <w:jc w:val="left"/>
              <w:textAlignment w:val="center"/>
              <w:rPr>
                <w:rFonts w:hint="eastAsia"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第五十六条　不同行政区域之间发生水事纠纷的，应当协商处理；协商不成的，由上一级人民政府裁决，有关各方必须遵照执行。在水事纠纷解决前，未经各方达成协议或者共同的上一级人民政府批准，在行政区域交界线两侧一定范围内，任何一方不得修建排水、阻水、取水和截(蓄)水工程，不得单方面改变水的现状。</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　　《中华人民共和国水土保持法》</w:t>
            </w:r>
          </w:p>
          <w:p>
            <w:pPr>
              <w:widowControl/>
              <w:spacing w:before="156" w:beforeLines="50"/>
              <w:ind w:firstLine="420" w:firstLineChars="200"/>
              <w:jc w:val="left"/>
              <w:textAlignment w:val="center"/>
              <w:rPr>
                <w:rFonts w:hint="eastAsia"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第四十六条不同行政区域之间发生水土流失纠纷应当协商解决；协商不成的，由共同的上一级人民政府裁决。</w:t>
            </w:r>
          </w:p>
        </w:tc>
        <w:tc>
          <w:tcPr>
            <w:tcW w:w="720" w:type="dxa"/>
            <w:noWrap w:val="0"/>
            <w:vAlign w:val="center"/>
          </w:tcPr>
          <w:p>
            <w:pPr>
              <w:widowControl/>
              <w:jc w:val="center"/>
              <w:textAlignment w:val="center"/>
              <w:rPr>
                <w:rFonts w:hint="eastAsia" w:ascii="仿宋_GB2312" w:eastAsia="仿宋_GB2312"/>
                <w:szCs w:val="21"/>
              </w:rPr>
            </w:pPr>
            <w:r>
              <w:rPr>
                <w:rFonts w:hint="eastAsia" w:ascii="仿宋_GB2312" w:hAnsi="宋体" w:eastAsia="仿宋_GB2312" w:cs="仿宋_GB2312"/>
                <w:color w:val="000000"/>
                <w:kern w:val="0"/>
                <w:szCs w:val="21"/>
              </w:rPr>
              <w:t>陵川县水政监察大队</w:t>
            </w:r>
          </w:p>
        </w:tc>
        <w:tc>
          <w:tcPr>
            <w:tcW w:w="2036" w:type="dxa"/>
            <w:noWrap w:val="0"/>
            <w:vAlign w:val="center"/>
          </w:tcPr>
          <w:p>
            <w:pPr>
              <w:widowControl/>
              <w:spacing w:line="280" w:lineRule="exact"/>
              <w:jc w:val="left"/>
              <w:textAlignment w:val="center"/>
              <w:rPr>
                <w:rFonts w:hint="eastAsia" w:ascii="仿宋_GB2312" w:hAnsi="宋体" w:eastAsia="仿宋_GB2312"/>
                <w:szCs w:val="21"/>
              </w:rPr>
            </w:pPr>
            <w:r>
              <w:rPr>
                <w:rFonts w:hint="eastAsia" w:ascii="仿宋_GB2312" w:hAnsi="宋体" w:eastAsia="仿宋_GB2312" w:cs="仿宋_GB2312"/>
                <w:color w:val="000000"/>
                <w:kern w:val="0"/>
                <w:szCs w:val="21"/>
              </w:rPr>
              <w:t>1、受理责任：公示申请条件、法定期限、需要提供的申请书及其他资料（申请人及被申请人的基本本情况，申请裁决的要求和理由，有关证据材料等），一次性告知补正的材料，对符合条件的应当予以受理，不符合条件的，不予受理并通知申请人。</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2、审查责任：通知权属争议的申请人及对方当事人，并要求对方当事人在规定的期限内提交答辩书及有关证据材料。水行政主管部门对争议的实施、证据材料进行审查，针对疑问情况或经当事人申请可以组织听证，也派出工作组现场调查了解情况。</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3、裁决责任：根据事实和法律、法规作出裁决，制作并向当事人送达裁决书。</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4、执行责任：水事纠纷裁决生效后，争议各方应当自觉履行，水行政主管部门应当对执行情况进行监督检查，发现的问题应当及时向政府和有关部门通报。</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spacing w:val="-11"/>
                <w:kern w:val="0"/>
                <w:szCs w:val="21"/>
              </w:rPr>
              <w:t>5、其他法律法规政策规定应当履行的责任。</w:t>
            </w:r>
          </w:p>
        </w:tc>
        <w:tc>
          <w:tcPr>
            <w:tcW w:w="2340" w:type="dxa"/>
            <w:noWrap w:val="0"/>
            <w:vAlign w:val="center"/>
          </w:tcPr>
          <w:p>
            <w:pPr>
              <w:widowControl/>
              <w:spacing w:line="280" w:lineRule="exact"/>
              <w:jc w:val="left"/>
              <w:textAlignment w:val="center"/>
              <w:rPr>
                <w:rFonts w:hint="eastAsia" w:ascii="仿宋_GB2312" w:hAnsi="宋体" w:eastAsia="仿宋_GB2312"/>
                <w:szCs w:val="21"/>
              </w:rPr>
            </w:pPr>
            <w:r>
              <w:rPr>
                <w:rFonts w:hint="eastAsia" w:ascii="仿宋_GB2312" w:hAnsi="宋体" w:eastAsia="仿宋_GB2312" w:cs="仿宋_GB2312"/>
                <w:color w:val="000000"/>
                <w:kern w:val="0"/>
                <w:szCs w:val="21"/>
              </w:rPr>
              <w:t>1、受理：《省际水事纠纷预防和处理办法》 第五条</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2、审查：《省际水事纠纷预防和处理办法》第十四条</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3、裁决：《省际水事纠纷预防和处理办法》第十四条</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4、执行：《省际水事纠纷预防和处理办法》第十四条</w:t>
            </w:r>
          </w:p>
        </w:tc>
        <w:tc>
          <w:tcPr>
            <w:tcW w:w="1868" w:type="dxa"/>
            <w:noWrap w:val="0"/>
            <w:vAlign w:val="center"/>
          </w:tcPr>
          <w:p>
            <w:pPr>
              <w:widowControl/>
              <w:spacing w:line="280" w:lineRule="exact"/>
              <w:jc w:val="left"/>
              <w:textAlignment w:val="center"/>
              <w:rPr>
                <w:rFonts w:hint="eastAsia" w:ascii="仿宋_GB2312" w:hAnsi="宋体" w:eastAsia="仿宋_GB2312"/>
                <w:szCs w:val="21"/>
              </w:rPr>
            </w:pPr>
            <w:r>
              <w:rPr>
                <w:rFonts w:hint="eastAsia" w:ascii="仿宋_GB2312" w:hAnsi="宋体" w:eastAsia="仿宋_GB2312" w:cs="仿宋_GB2312"/>
                <w:color w:val="000000"/>
                <w:kern w:val="0"/>
                <w:szCs w:val="21"/>
              </w:rPr>
              <w:t>因不履行或不正确履行行政职责，有下列情形的，行政机关及相关工作人员应承担相应责任：</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1、对符合条件的区域水事纠纷裁决申请不予受理、裁决的；</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2、对不符合条件的区域水事纠纷裁决申请受理、裁决的；</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3、因裁决不当给当事人造成损失的；</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4、对当事人要求听证，应于组织听证而不组织听证的；</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5、在行政裁决工作玩忽职守，滥用职权，致使公民、法人或者其他组织的合法权益、公共利益和社会秩序遭受损失的；</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6、对纠纷没有认真核查导致事实认定不准，裁决决定错误的；</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7、在行政裁决过程中发生腐败行为的；</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8、其他违反法律法规政策规定的行为。9、应当告知当事人而没有履行告知义务的。</w:t>
            </w:r>
          </w:p>
        </w:tc>
        <w:tc>
          <w:tcPr>
            <w:tcW w:w="900" w:type="dxa"/>
            <w:noWrap w:val="0"/>
            <w:vAlign w:val="center"/>
          </w:tcPr>
          <w:p>
            <w:pPr>
              <w:widowControl/>
              <w:jc w:val="left"/>
              <w:textAlignment w:val="center"/>
              <w:rPr>
                <w:rFonts w:hint="eastAsia" w:ascii="仿宋_GB2312" w:hAnsi="宋体" w:eastAsia="仿宋_GB2312"/>
                <w:szCs w:val="21"/>
              </w:rPr>
            </w:pPr>
          </w:p>
        </w:tc>
        <w:tc>
          <w:tcPr>
            <w:tcW w:w="540" w:type="dxa"/>
            <w:noWrap w:val="0"/>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468" w:type="dxa"/>
            <w:noWrap w:val="0"/>
            <w:vAlign w:val="center"/>
          </w:tcPr>
          <w:p>
            <w:pPr>
              <w:widowControl/>
              <w:jc w:val="center"/>
              <w:textAlignment w:val="center"/>
              <w:rPr>
                <w:rFonts w:hint="eastAsia" w:ascii="仿宋_GB2312" w:hAnsi="仿宋" w:eastAsia="仿宋_GB2312" w:cs="仿宋"/>
                <w:color w:val="000000"/>
                <w:sz w:val="24"/>
                <w:szCs w:val="24"/>
                <w:lang w:eastAsia="zh-CN"/>
              </w:rPr>
            </w:pPr>
            <w:r>
              <w:rPr>
                <w:rFonts w:hint="eastAsia" w:ascii="宋体" w:hAnsi="宋体" w:eastAsia="仿宋_GB2312" w:cs="宋体"/>
                <w:color w:val="000000"/>
                <w:kern w:val="0"/>
                <w:sz w:val="24"/>
                <w:szCs w:val="24"/>
                <w:lang w:val="en-US" w:eastAsia="zh-CN"/>
              </w:rPr>
              <w:t>4</w:t>
            </w:r>
          </w:p>
        </w:tc>
        <w:tc>
          <w:tcPr>
            <w:tcW w:w="540" w:type="dxa"/>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rPr>
              <w:t>其他权力</w:t>
            </w:r>
          </w:p>
        </w:tc>
        <w:tc>
          <w:tcPr>
            <w:tcW w:w="540" w:type="dxa"/>
            <w:noWrap w:val="0"/>
            <w:vAlign w:val="top"/>
          </w:tcPr>
          <w:p>
            <w:pPr>
              <w:widowControl/>
              <w:jc w:val="center"/>
              <w:textAlignment w:val="center"/>
              <w:rPr>
                <w:rFonts w:hint="eastAsia" w:ascii="宋体" w:hAnsi="宋体" w:cs="宋体"/>
                <w:color w:val="000000"/>
                <w:kern w:val="0"/>
                <w:sz w:val="24"/>
                <w:szCs w:val="24"/>
              </w:rPr>
            </w:pPr>
          </w:p>
        </w:tc>
        <w:tc>
          <w:tcPr>
            <w:tcW w:w="720" w:type="dxa"/>
            <w:gridSpan w:val="2"/>
            <w:noWrap w:val="0"/>
            <w:vAlign w:val="center"/>
          </w:tcPr>
          <w:p>
            <w:pPr>
              <w:widowControl/>
              <w:jc w:val="left"/>
              <w:textAlignment w:val="center"/>
              <w:rPr>
                <w:rFonts w:hint="eastAsia" w:ascii="仿宋_GB2312" w:hAnsi="宋体" w:eastAsia="仿宋_GB2312"/>
                <w:sz w:val="24"/>
                <w:szCs w:val="24"/>
              </w:rPr>
            </w:pPr>
            <w:r>
              <w:rPr>
                <w:rFonts w:hint="eastAsia" w:ascii="仿宋_GB2312" w:hAnsi="宋体" w:eastAsia="仿宋_GB2312" w:cs="仿宋_GB2312"/>
                <w:color w:val="000000"/>
                <w:kern w:val="0"/>
                <w:sz w:val="24"/>
                <w:szCs w:val="24"/>
              </w:rPr>
              <w:t>水事纠纷调解</w:t>
            </w:r>
          </w:p>
        </w:tc>
        <w:tc>
          <w:tcPr>
            <w:tcW w:w="4196" w:type="dxa"/>
            <w:noWrap w:val="0"/>
            <w:vAlign w:val="center"/>
          </w:tcPr>
          <w:p>
            <w:pPr>
              <w:widowControl/>
              <w:jc w:val="left"/>
              <w:textAlignment w:val="center"/>
              <w:rPr>
                <w:rFonts w:hint="eastAsia"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【法律】　《中华人民共和国水法》</w:t>
            </w:r>
          </w:p>
          <w:p>
            <w:pPr>
              <w:widowControl/>
              <w:spacing w:before="156" w:beforeLines="50"/>
              <w:jc w:val="left"/>
              <w:textAlignment w:val="center"/>
              <w:rPr>
                <w:rFonts w:hint="eastAsia"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第五十七条　单位之间、个人之间、单位与个人之间发生的水事纠纷，应当协商解决；当事人不愿协商或者协商不成的，可以申请县级以上地方人民政府或者其授权的部门调解，也可以直接向人民法院提起民事诉讼。县级以上地方人民政府或者其授权的部门调解不成的，当事人可以向人民法院提起民事诉讼。</w:t>
            </w:r>
          </w:p>
          <w:p>
            <w:pPr>
              <w:widowControl/>
              <w:jc w:val="left"/>
              <w:textAlignment w:val="center"/>
              <w:rPr>
                <w:rFonts w:hint="eastAsia"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在水事纠纷解决前，当事人不得单方面改变现状。</w:t>
            </w:r>
          </w:p>
        </w:tc>
        <w:tc>
          <w:tcPr>
            <w:tcW w:w="720" w:type="dxa"/>
            <w:noWrap w:val="0"/>
            <w:vAlign w:val="center"/>
          </w:tcPr>
          <w:p>
            <w:pPr>
              <w:widowControl/>
              <w:jc w:val="center"/>
              <w:textAlignment w:val="center"/>
              <w:rPr>
                <w:rFonts w:hint="eastAsia" w:ascii="仿宋_GB2312" w:eastAsia="仿宋_GB2312"/>
                <w:szCs w:val="21"/>
              </w:rPr>
            </w:pPr>
            <w:r>
              <w:rPr>
                <w:rFonts w:hint="eastAsia" w:ascii="仿宋_GB2312" w:hAnsi="宋体" w:eastAsia="仿宋_GB2312" w:cs="仿宋_GB2312"/>
                <w:color w:val="000000"/>
                <w:kern w:val="0"/>
                <w:szCs w:val="21"/>
              </w:rPr>
              <w:t>陵川县水政监察大队</w:t>
            </w:r>
          </w:p>
        </w:tc>
        <w:tc>
          <w:tcPr>
            <w:tcW w:w="2036" w:type="dxa"/>
            <w:noWrap w:val="0"/>
            <w:vAlign w:val="center"/>
          </w:tcPr>
          <w:p>
            <w:pPr>
              <w:widowControl/>
              <w:spacing w:line="280" w:lineRule="exact"/>
              <w:jc w:val="left"/>
              <w:textAlignment w:val="center"/>
              <w:rPr>
                <w:rFonts w:hint="eastAsia" w:ascii="仿宋_GB2312" w:hAnsi="宋体" w:eastAsia="仿宋_GB2312"/>
                <w:szCs w:val="21"/>
              </w:rPr>
            </w:pPr>
            <w:r>
              <w:rPr>
                <w:rFonts w:hint="eastAsia" w:ascii="仿宋_GB2312" w:hAnsi="宋体" w:eastAsia="仿宋_GB2312" w:cs="仿宋_GB2312"/>
                <w:color w:val="000000"/>
                <w:kern w:val="0"/>
                <w:szCs w:val="21"/>
              </w:rPr>
              <w:t>1、受理责任：公示申请条件、法定期限、需要提供的申请书及其他资料（申请人及被申请人的基本本情况，申请裁决的要求和理由，有关证据材料等），一次性告知补正的材料，对符合条件的应当予以受理，不符合条件的，不予受理并通知申请人。</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2、审查责任：通知权属争议的申请人及对方当事人，并要求对方当事人在规定的期限内提交答辩书及有关证据材料。水行政主管部门对争议的实施、证据材料进行审查，针对疑问情况或经当事人申请可以组织听证，也派出工作组现场调查了解情况。</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3、调解责任：根据事实和法律、法规作出裁决，制作并向当事人送达裁决书。</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4、执行责任：水事纠纷裁决生效后，争议各方应当自觉履行，水行政主管部门应当对执行情况进行监督检查，发现的问题应当及时向政府和有关部门通报。</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spacing w:val="-8"/>
                <w:kern w:val="0"/>
                <w:szCs w:val="21"/>
              </w:rPr>
              <w:t>5、其他法律法规政策规定应当履行的责任。</w:t>
            </w:r>
          </w:p>
        </w:tc>
        <w:tc>
          <w:tcPr>
            <w:tcW w:w="2340" w:type="dxa"/>
            <w:noWrap w:val="0"/>
            <w:vAlign w:val="center"/>
          </w:tcPr>
          <w:p>
            <w:pPr>
              <w:widowControl/>
              <w:spacing w:line="280" w:lineRule="exact"/>
              <w:jc w:val="left"/>
              <w:textAlignment w:val="center"/>
              <w:rPr>
                <w:rFonts w:hint="eastAsia" w:ascii="仿宋_GB2312" w:hAnsi="宋体" w:eastAsia="仿宋_GB2312"/>
                <w:szCs w:val="21"/>
              </w:rPr>
            </w:pPr>
            <w:r>
              <w:rPr>
                <w:rFonts w:hint="eastAsia" w:ascii="仿宋_GB2312" w:hAnsi="宋体" w:eastAsia="仿宋_GB2312" w:cs="仿宋_GB2312"/>
                <w:color w:val="000000"/>
                <w:kern w:val="0"/>
                <w:szCs w:val="21"/>
              </w:rPr>
              <w:t>《中华人民共和国水法》第五十六条</w:t>
            </w:r>
          </w:p>
        </w:tc>
        <w:tc>
          <w:tcPr>
            <w:tcW w:w="1868" w:type="dxa"/>
            <w:noWrap w:val="0"/>
            <w:vAlign w:val="center"/>
          </w:tcPr>
          <w:p>
            <w:pPr>
              <w:widowControl/>
              <w:spacing w:line="280" w:lineRule="exact"/>
              <w:jc w:val="left"/>
              <w:textAlignment w:val="center"/>
              <w:rPr>
                <w:rFonts w:hint="eastAsia" w:ascii="仿宋_GB2312" w:eastAsia="仿宋_GB2312"/>
                <w:szCs w:val="21"/>
              </w:rPr>
            </w:pPr>
            <w:r>
              <w:rPr>
                <w:rFonts w:hint="eastAsia" w:ascii="仿宋_GB2312" w:hAnsi="宋体" w:eastAsia="仿宋_GB2312" w:cs="仿宋_GB2312"/>
                <w:color w:val="000000"/>
                <w:kern w:val="0"/>
                <w:szCs w:val="21"/>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900" w:type="dxa"/>
            <w:noWrap w:val="0"/>
            <w:vAlign w:val="center"/>
          </w:tcPr>
          <w:p>
            <w:pPr>
              <w:widowControl/>
              <w:jc w:val="left"/>
              <w:textAlignment w:val="center"/>
              <w:rPr>
                <w:rFonts w:hint="eastAsia" w:ascii="仿宋_GB2312" w:hAnsi="宋体" w:eastAsia="仿宋_GB2312"/>
                <w:szCs w:val="21"/>
              </w:rPr>
            </w:pPr>
            <w:r>
              <w:rPr>
                <w:rFonts w:hint="eastAsia" w:ascii="仿宋_GB2312" w:hAnsi="宋体" w:eastAsia="仿宋_GB2312" w:cs="仿宋_GB2312"/>
                <w:color w:val="000000"/>
                <w:kern w:val="0"/>
                <w:szCs w:val="21"/>
              </w:rPr>
              <w:t>【法律】《中华人民共和国水法》第六十三条、六十四条</w:t>
            </w:r>
          </w:p>
        </w:tc>
        <w:tc>
          <w:tcPr>
            <w:tcW w:w="540" w:type="dxa"/>
            <w:noWrap w:val="0"/>
            <w:vAlign w:val="center"/>
          </w:tcPr>
          <w:p>
            <w:pPr>
              <w:jc w:val="center"/>
              <w:rPr>
                <w:rFonts w:hint="eastAsia" w:ascii="仿宋_GB2312" w:hAnsi="仿宋" w:eastAsia="仿宋_GB2312" w:cs="仿宋"/>
                <w:color w:val="000000"/>
                <w:sz w:val="24"/>
                <w:szCs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CE5354"/>
    <w:rsid w:val="023D260F"/>
    <w:rsid w:val="03406DE3"/>
    <w:rsid w:val="086120F5"/>
    <w:rsid w:val="206C5714"/>
    <w:rsid w:val="23FA1FE5"/>
    <w:rsid w:val="29CE5354"/>
    <w:rsid w:val="39EF50F3"/>
    <w:rsid w:val="63A06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nhideWhenUs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2021-09-03T06:48:00Z</dcterms:created>
  <dc:creator>Administrator</dc:creator>
  <cp:lastModifiedBy>摄鬼波波</cp:lastModifiedBy>
  <dcterms:modified xsi:type="dcterms:W3CDTF">2021-10-19T02:07:59Z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3B22C295566F4B229ACA870C1910D95C</vt:lpwstr>
  </property>
</Properties>
</file>