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48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540"/>
        <w:gridCol w:w="540"/>
        <w:gridCol w:w="360"/>
        <w:gridCol w:w="360"/>
        <w:gridCol w:w="4196"/>
        <w:gridCol w:w="720"/>
        <w:gridCol w:w="2036"/>
        <w:gridCol w:w="2340"/>
        <w:gridCol w:w="1868"/>
        <w:gridCol w:w="900"/>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blHeader/>
        </w:trPr>
        <w:tc>
          <w:tcPr>
            <w:tcW w:w="14868" w:type="dxa"/>
            <w:gridSpan w:val="12"/>
            <w:tcBorders>
              <w:top w:val="nil"/>
              <w:left w:val="nil"/>
              <w:right w:val="nil"/>
            </w:tcBorders>
            <w:noWrap w:val="0"/>
            <w:vAlign w:val="center"/>
          </w:tcPr>
          <w:p>
            <w:pPr>
              <w:jc w:val="center"/>
              <w:rPr>
                <w:rFonts w:ascii="华文中宋" w:hAnsi="华文中宋" w:eastAsia="华文中宋" w:cs="宋体"/>
                <w:b/>
                <w:bCs/>
                <w:color w:val="000000"/>
                <w:sz w:val="44"/>
                <w:szCs w:val="44"/>
              </w:rPr>
            </w:pPr>
            <w:r>
              <w:rPr>
                <w:rFonts w:hint="eastAsia" w:ascii="华文中宋" w:hAnsi="华文中宋" w:eastAsia="华文中宋"/>
                <w:b/>
                <w:bCs/>
                <w:color w:val="000000"/>
                <w:sz w:val="44"/>
                <w:szCs w:val="44"/>
              </w:rPr>
              <w:t>陵川县</w:t>
            </w:r>
            <w:r>
              <w:rPr>
                <w:rFonts w:hint="eastAsia" w:ascii="华文中宋" w:hAnsi="华文中宋" w:eastAsia="华文中宋"/>
                <w:b/>
                <w:bCs/>
                <w:color w:val="000000"/>
                <w:sz w:val="44"/>
                <w:szCs w:val="44"/>
                <w:u w:val="single"/>
              </w:rPr>
              <w:t>水务局</w:t>
            </w:r>
            <w:r>
              <w:rPr>
                <w:rFonts w:hint="eastAsia" w:ascii="华文中宋" w:hAnsi="华文中宋" w:eastAsia="华文中宋"/>
                <w:b/>
                <w:bCs/>
                <w:color w:val="000000"/>
                <w:sz w:val="44"/>
                <w:szCs w:val="44"/>
              </w:rPr>
              <w:t>权力和责任清单</w:t>
            </w:r>
          </w:p>
          <w:p>
            <w:pPr>
              <w:jc w:val="both"/>
              <w:rPr>
                <w:rFonts w:hint="eastAsia" w:ascii="宋体" w:hAnsi="宋体" w:cs="宋体"/>
                <w:b/>
                <w:bCs/>
                <w:szCs w:val="21"/>
              </w:rPr>
            </w:pPr>
            <w:r>
              <w:rPr>
                <w:rFonts w:hint="eastAsia" w:ascii="宋体" w:hAnsi="宋体" w:cs="宋体"/>
                <w:b/>
                <w:bCs/>
                <w:szCs w:val="21"/>
              </w:rPr>
              <w:t xml:space="preserve">单位：陵川县水务局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blHeader/>
        </w:trPr>
        <w:tc>
          <w:tcPr>
            <w:tcW w:w="468" w:type="dxa"/>
            <w:vMerge w:val="restart"/>
            <w:noWrap w:val="0"/>
            <w:vAlign w:val="center"/>
          </w:tcPr>
          <w:p>
            <w:pPr>
              <w:jc w:val="center"/>
              <w:rPr>
                <w:rFonts w:hint="eastAsia" w:ascii="宋体" w:hAnsi="宋体" w:cs="宋体"/>
                <w:b/>
                <w:bCs/>
                <w:sz w:val="24"/>
                <w:szCs w:val="24"/>
              </w:rPr>
            </w:pPr>
            <w:r>
              <w:rPr>
                <w:rFonts w:hint="eastAsia" w:ascii="宋体" w:hAnsi="宋体" w:cs="宋体"/>
                <w:b/>
                <w:bCs/>
                <w:sz w:val="24"/>
                <w:szCs w:val="24"/>
              </w:rPr>
              <w:t>序号</w:t>
            </w:r>
          </w:p>
        </w:tc>
        <w:tc>
          <w:tcPr>
            <w:tcW w:w="5996" w:type="dxa"/>
            <w:gridSpan w:val="5"/>
            <w:noWrap w:val="0"/>
            <w:vAlign w:val="center"/>
          </w:tcPr>
          <w:p>
            <w:pPr>
              <w:jc w:val="center"/>
              <w:rPr>
                <w:rFonts w:hint="eastAsia" w:ascii="宋体" w:hAnsi="宋体" w:cs="宋体"/>
                <w:b/>
                <w:bCs/>
                <w:sz w:val="24"/>
                <w:szCs w:val="24"/>
              </w:rPr>
            </w:pPr>
            <w:r>
              <w:rPr>
                <w:rFonts w:hint="eastAsia" w:ascii="宋体" w:hAnsi="宋体" w:cs="宋体"/>
                <w:b/>
                <w:bCs/>
                <w:sz w:val="24"/>
                <w:szCs w:val="24"/>
                <w:lang w:eastAsia="zh-CN"/>
              </w:rPr>
              <w:t>权力</w:t>
            </w:r>
            <w:r>
              <w:rPr>
                <w:rFonts w:hint="eastAsia" w:ascii="宋体" w:hAnsi="宋体" w:cs="宋体"/>
                <w:b/>
                <w:bCs/>
                <w:sz w:val="24"/>
                <w:szCs w:val="24"/>
              </w:rPr>
              <w:t>清单</w:t>
            </w:r>
          </w:p>
        </w:tc>
        <w:tc>
          <w:tcPr>
            <w:tcW w:w="720" w:type="dxa"/>
            <w:vMerge w:val="restart"/>
            <w:noWrap w:val="0"/>
            <w:vAlign w:val="center"/>
          </w:tcPr>
          <w:p>
            <w:pPr>
              <w:jc w:val="center"/>
              <w:rPr>
                <w:rFonts w:hint="eastAsia" w:ascii="宋体" w:hAnsi="宋体" w:cs="宋体"/>
                <w:b/>
                <w:bCs/>
                <w:sz w:val="24"/>
                <w:szCs w:val="24"/>
              </w:rPr>
            </w:pPr>
            <w:r>
              <w:rPr>
                <w:rFonts w:hint="eastAsia" w:ascii="宋体" w:hAnsi="宋体" w:cs="宋体"/>
                <w:b/>
                <w:bCs/>
                <w:sz w:val="24"/>
                <w:szCs w:val="24"/>
              </w:rPr>
              <w:t>实施主体</w:t>
            </w:r>
          </w:p>
        </w:tc>
        <w:tc>
          <w:tcPr>
            <w:tcW w:w="7144" w:type="dxa"/>
            <w:gridSpan w:val="4"/>
            <w:noWrap w:val="0"/>
            <w:vAlign w:val="center"/>
          </w:tcPr>
          <w:p>
            <w:pPr>
              <w:jc w:val="center"/>
              <w:rPr>
                <w:rFonts w:hint="eastAsia" w:ascii="宋体" w:hAnsi="宋体" w:cs="宋体"/>
                <w:b/>
                <w:bCs/>
                <w:sz w:val="24"/>
                <w:szCs w:val="24"/>
              </w:rPr>
            </w:pPr>
            <w:r>
              <w:rPr>
                <w:rFonts w:hint="eastAsia" w:ascii="宋体" w:hAnsi="宋体" w:cs="宋体"/>
                <w:b/>
                <w:bCs/>
                <w:sz w:val="24"/>
                <w:szCs w:val="24"/>
              </w:rPr>
              <w:t>责任清单</w:t>
            </w:r>
          </w:p>
        </w:tc>
        <w:tc>
          <w:tcPr>
            <w:tcW w:w="540" w:type="dxa"/>
            <w:noWrap w:val="0"/>
            <w:vAlign w:val="center"/>
          </w:tcPr>
          <w:p>
            <w:pPr>
              <w:jc w:val="center"/>
              <w:rPr>
                <w:rFonts w:hint="eastAsia" w:ascii="宋体" w:hAnsi="宋体" w:cs="宋体"/>
                <w:b/>
                <w:bCs/>
                <w:sz w:val="24"/>
                <w:szCs w:val="24"/>
              </w:rPr>
            </w:pPr>
            <w:r>
              <w:rPr>
                <w:rFonts w:hint="eastAsia" w:ascii="宋体" w:hAnsi="宋体" w:cs="宋体"/>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blHeader/>
        </w:trPr>
        <w:tc>
          <w:tcPr>
            <w:tcW w:w="468" w:type="dxa"/>
            <w:vMerge w:val="continue"/>
            <w:noWrap w:val="0"/>
            <w:vAlign w:val="center"/>
          </w:tcPr>
          <w:p>
            <w:pPr>
              <w:jc w:val="center"/>
              <w:rPr>
                <w:rFonts w:hint="eastAsia" w:ascii="方正小标宋简体" w:hAnsi="方正小标宋简体" w:eastAsia="方正小标宋简体" w:cs="方正小标宋简体"/>
                <w:sz w:val="44"/>
                <w:szCs w:val="44"/>
              </w:rPr>
            </w:pPr>
          </w:p>
        </w:tc>
        <w:tc>
          <w:tcPr>
            <w:tcW w:w="540" w:type="dxa"/>
            <w:vMerge w:val="restart"/>
            <w:noWrap w:val="0"/>
            <w:vAlign w:val="center"/>
          </w:tcPr>
          <w:p>
            <w:pPr>
              <w:jc w:val="center"/>
              <w:rPr>
                <w:rFonts w:hint="eastAsia" w:ascii="宋体" w:hAnsi="宋体" w:cs="宋体"/>
                <w:b/>
                <w:bCs/>
                <w:sz w:val="24"/>
                <w:szCs w:val="24"/>
              </w:rPr>
            </w:pPr>
            <w:r>
              <w:rPr>
                <w:rFonts w:hint="eastAsia" w:ascii="宋体" w:hAnsi="宋体" w:cs="宋体"/>
                <w:b/>
                <w:bCs/>
                <w:sz w:val="24"/>
                <w:szCs w:val="24"/>
              </w:rPr>
              <w:t>职权</w:t>
            </w:r>
          </w:p>
          <w:p>
            <w:pPr>
              <w:jc w:val="center"/>
              <w:rPr>
                <w:rFonts w:hint="eastAsia" w:ascii="宋体" w:hAnsi="宋体" w:cs="宋体"/>
                <w:b/>
                <w:bCs/>
                <w:sz w:val="24"/>
                <w:szCs w:val="24"/>
              </w:rPr>
            </w:pPr>
            <w:r>
              <w:rPr>
                <w:rFonts w:hint="eastAsia" w:ascii="宋体" w:hAnsi="宋体" w:cs="宋体"/>
                <w:b/>
                <w:bCs/>
                <w:sz w:val="24"/>
                <w:szCs w:val="24"/>
              </w:rPr>
              <w:t>类型</w:t>
            </w:r>
          </w:p>
        </w:tc>
        <w:tc>
          <w:tcPr>
            <w:tcW w:w="540" w:type="dxa"/>
            <w:vMerge w:val="restart"/>
            <w:noWrap w:val="0"/>
            <w:vAlign w:val="center"/>
          </w:tcPr>
          <w:p>
            <w:pPr>
              <w:jc w:val="center"/>
              <w:rPr>
                <w:rFonts w:hint="eastAsia" w:ascii="宋体" w:hAnsi="宋体" w:cs="宋体"/>
                <w:b/>
                <w:bCs/>
                <w:sz w:val="24"/>
                <w:szCs w:val="24"/>
              </w:rPr>
            </w:pPr>
            <w:r>
              <w:rPr>
                <w:rFonts w:hint="eastAsia" w:ascii="宋体" w:hAnsi="宋体" w:cs="宋体"/>
                <w:b/>
                <w:bCs/>
                <w:sz w:val="24"/>
                <w:szCs w:val="24"/>
              </w:rPr>
              <w:t>职权</w:t>
            </w:r>
          </w:p>
          <w:p>
            <w:pPr>
              <w:jc w:val="center"/>
              <w:rPr>
                <w:rFonts w:hint="eastAsia" w:ascii="宋体" w:hAnsi="宋体" w:cs="宋体"/>
                <w:b/>
                <w:bCs/>
                <w:sz w:val="24"/>
                <w:szCs w:val="24"/>
              </w:rPr>
            </w:pPr>
            <w:r>
              <w:rPr>
                <w:rFonts w:hint="eastAsia" w:ascii="宋体" w:hAnsi="宋体" w:cs="宋体"/>
                <w:b/>
                <w:bCs/>
                <w:sz w:val="24"/>
                <w:szCs w:val="24"/>
              </w:rPr>
              <w:t>编码</w:t>
            </w:r>
          </w:p>
        </w:tc>
        <w:tc>
          <w:tcPr>
            <w:tcW w:w="720" w:type="dxa"/>
            <w:gridSpan w:val="2"/>
            <w:noWrap w:val="0"/>
            <w:vAlign w:val="center"/>
          </w:tcPr>
          <w:p>
            <w:pPr>
              <w:jc w:val="center"/>
              <w:rPr>
                <w:rFonts w:hint="eastAsia" w:ascii="宋体" w:hAnsi="宋体" w:cs="宋体"/>
                <w:b/>
                <w:bCs/>
                <w:sz w:val="24"/>
                <w:szCs w:val="24"/>
              </w:rPr>
            </w:pPr>
            <w:r>
              <w:rPr>
                <w:rFonts w:hint="eastAsia" w:ascii="宋体" w:hAnsi="宋体" w:cs="宋体"/>
                <w:b/>
                <w:bCs/>
                <w:sz w:val="24"/>
                <w:szCs w:val="24"/>
              </w:rPr>
              <w:t>职权名称</w:t>
            </w:r>
          </w:p>
        </w:tc>
        <w:tc>
          <w:tcPr>
            <w:tcW w:w="4196" w:type="dxa"/>
            <w:noWrap w:val="0"/>
            <w:vAlign w:val="center"/>
          </w:tcPr>
          <w:p>
            <w:pPr>
              <w:jc w:val="center"/>
              <w:rPr>
                <w:rFonts w:hint="eastAsia" w:ascii="方正小标宋简体" w:hAnsi="方正小标宋简体" w:eastAsia="方正小标宋简体" w:cs="方正小标宋简体"/>
                <w:sz w:val="44"/>
                <w:szCs w:val="44"/>
              </w:rPr>
            </w:pPr>
            <w:r>
              <w:rPr>
                <w:rFonts w:hint="eastAsia" w:ascii="宋体" w:hAnsi="宋体" w:cs="宋体"/>
                <w:b/>
                <w:bCs/>
                <w:sz w:val="24"/>
                <w:szCs w:val="24"/>
              </w:rPr>
              <w:t>职权依据</w:t>
            </w:r>
          </w:p>
        </w:tc>
        <w:tc>
          <w:tcPr>
            <w:tcW w:w="720" w:type="dxa"/>
            <w:vMerge w:val="continue"/>
            <w:noWrap w:val="0"/>
            <w:vAlign w:val="center"/>
          </w:tcPr>
          <w:p>
            <w:pPr>
              <w:jc w:val="center"/>
              <w:rPr>
                <w:rFonts w:hint="eastAsia" w:ascii="宋体" w:hAnsi="宋体" w:cs="宋体"/>
                <w:b/>
                <w:bCs/>
                <w:sz w:val="24"/>
                <w:szCs w:val="24"/>
              </w:rPr>
            </w:pPr>
          </w:p>
        </w:tc>
        <w:tc>
          <w:tcPr>
            <w:tcW w:w="2036" w:type="dxa"/>
            <w:vMerge w:val="restart"/>
            <w:noWrap w:val="0"/>
            <w:vAlign w:val="center"/>
          </w:tcPr>
          <w:p>
            <w:pPr>
              <w:jc w:val="center"/>
              <w:rPr>
                <w:rFonts w:hint="eastAsia" w:ascii="宋体" w:hAnsi="宋体" w:cs="宋体"/>
                <w:b/>
                <w:bCs/>
                <w:sz w:val="24"/>
                <w:szCs w:val="24"/>
              </w:rPr>
            </w:pPr>
            <w:r>
              <w:rPr>
                <w:rFonts w:hint="eastAsia" w:ascii="宋体" w:hAnsi="宋体" w:cs="宋体"/>
                <w:b/>
                <w:bCs/>
                <w:sz w:val="24"/>
                <w:szCs w:val="24"/>
              </w:rPr>
              <w:t>责任事项</w:t>
            </w:r>
          </w:p>
        </w:tc>
        <w:tc>
          <w:tcPr>
            <w:tcW w:w="2340" w:type="dxa"/>
            <w:vMerge w:val="restart"/>
            <w:noWrap w:val="0"/>
            <w:vAlign w:val="center"/>
          </w:tcPr>
          <w:p>
            <w:pPr>
              <w:jc w:val="center"/>
              <w:rPr>
                <w:rFonts w:hint="eastAsia" w:ascii="宋体" w:hAnsi="宋体" w:cs="宋体"/>
                <w:b/>
                <w:bCs/>
                <w:sz w:val="24"/>
                <w:szCs w:val="24"/>
              </w:rPr>
            </w:pPr>
            <w:r>
              <w:rPr>
                <w:rFonts w:hint="eastAsia" w:ascii="宋体" w:hAnsi="宋体" w:cs="宋体"/>
                <w:b/>
                <w:bCs/>
                <w:sz w:val="24"/>
                <w:szCs w:val="24"/>
              </w:rPr>
              <w:t>责任事项依据</w:t>
            </w:r>
          </w:p>
        </w:tc>
        <w:tc>
          <w:tcPr>
            <w:tcW w:w="1868" w:type="dxa"/>
            <w:vMerge w:val="restart"/>
            <w:noWrap w:val="0"/>
            <w:vAlign w:val="center"/>
          </w:tcPr>
          <w:p>
            <w:pPr>
              <w:jc w:val="center"/>
              <w:rPr>
                <w:rFonts w:hint="eastAsia" w:ascii="宋体" w:hAnsi="宋体" w:cs="宋体"/>
                <w:b/>
                <w:bCs/>
                <w:sz w:val="24"/>
                <w:szCs w:val="24"/>
              </w:rPr>
            </w:pPr>
            <w:r>
              <w:rPr>
                <w:rFonts w:hint="eastAsia" w:ascii="宋体" w:hAnsi="宋体" w:cs="宋体"/>
                <w:b/>
                <w:bCs/>
                <w:sz w:val="24"/>
                <w:szCs w:val="24"/>
              </w:rPr>
              <w:t>追责情形</w:t>
            </w:r>
          </w:p>
        </w:tc>
        <w:tc>
          <w:tcPr>
            <w:tcW w:w="900" w:type="dxa"/>
            <w:vMerge w:val="restart"/>
            <w:noWrap w:val="0"/>
            <w:vAlign w:val="center"/>
          </w:tcPr>
          <w:p>
            <w:pPr>
              <w:jc w:val="center"/>
              <w:rPr>
                <w:rFonts w:hint="eastAsia" w:ascii="宋体" w:hAnsi="宋体" w:cs="宋体"/>
                <w:b/>
                <w:bCs/>
                <w:sz w:val="24"/>
                <w:szCs w:val="24"/>
              </w:rPr>
            </w:pPr>
            <w:r>
              <w:rPr>
                <w:rFonts w:hint="eastAsia" w:ascii="宋体" w:hAnsi="宋体" w:cs="宋体"/>
                <w:b/>
                <w:bCs/>
                <w:sz w:val="24"/>
                <w:szCs w:val="24"/>
              </w:rPr>
              <w:t>问责依据</w:t>
            </w:r>
          </w:p>
        </w:tc>
        <w:tc>
          <w:tcPr>
            <w:tcW w:w="540" w:type="dxa"/>
            <w:vMerge w:val="restart"/>
            <w:noWrap w:val="0"/>
            <w:vAlign w:val="center"/>
          </w:tcPr>
          <w:p>
            <w:pPr>
              <w:jc w:val="center"/>
              <w:rPr>
                <w:rFonts w:hint="eastAsia" w:ascii="宋体" w:hAns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blHeader/>
        </w:trPr>
        <w:tc>
          <w:tcPr>
            <w:tcW w:w="468" w:type="dxa"/>
            <w:vMerge w:val="continue"/>
            <w:noWrap w:val="0"/>
            <w:vAlign w:val="center"/>
          </w:tcPr>
          <w:p>
            <w:pPr>
              <w:jc w:val="center"/>
              <w:rPr>
                <w:rFonts w:hint="eastAsia" w:ascii="方正小标宋简体" w:hAnsi="方正小标宋简体" w:eastAsia="方正小标宋简体" w:cs="方正小标宋简体"/>
                <w:sz w:val="44"/>
                <w:szCs w:val="44"/>
              </w:rPr>
            </w:pPr>
          </w:p>
        </w:tc>
        <w:tc>
          <w:tcPr>
            <w:tcW w:w="540" w:type="dxa"/>
            <w:vMerge w:val="continue"/>
            <w:noWrap w:val="0"/>
            <w:vAlign w:val="center"/>
          </w:tcPr>
          <w:p>
            <w:pPr>
              <w:rPr>
                <w:rFonts w:hint="eastAsia" w:ascii="宋体" w:hAnsi="宋体" w:cs="宋体"/>
                <w:b/>
                <w:bCs/>
                <w:sz w:val="24"/>
                <w:szCs w:val="24"/>
              </w:rPr>
            </w:pPr>
          </w:p>
        </w:tc>
        <w:tc>
          <w:tcPr>
            <w:tcW w:w="540" w:type="dxa"/>
            <w:vMerge w:val="continue"/>
            <w:noWrap w:val="0"/>
            <w:vAlign w:val="top"/>
          </w:tcPr>
          <w:p>
            <w:pPr>
              <w:rPr>
                <w:rFonts w:hint="eastAsia" w:ascii="宋体" w:hAnsi="宋体" w:cs="宋体"/>
                <w:b/>
                <w:bCs/>
                <w:sz w:val="24"/>
                <w:szCs w:val="24"/>
              </w:rPr>
            </w:pPr>
          </w:p>
        </w:tc>
        <w:tc>
          <w:tcPr>
            <w:tcW w:w="360" w:type="dxa"/>
            <w:noWrap w:val="0"/>
            <w:vAlign w:val="center"/>
          </w:tcPr>
          <w:p>
            <w:pPr>
              <w:jc w:val="center"/>
              <w:rPr>
                <w:rFonts w:hint="eastAsia" w:ascii="宋体" w:hAnsi="宋体" w:cs="宋体"/>
                <w:b/>
                <w:bCs/>
                <w:sz w:val="24"/>
                <w:szCs w:val="24"/>
              </w:rPr>
            </w:pPr>
            <w:r>
              <w:rPr>
                <w:rFonts w:hint="eastAsia" w:ascii="宋体" w:hAnsi="宋体" w:cs="宋体"/>
                <w:b/>
                <w:bCs/>
                <w:sz w:val="24"/>
                <w:szCs w:val="24"/>
              </w:rPr>
              <w:t>项目</w:t>
            </w:r>
          </w:p>
        </w:tc>
        <w:tc>
          <w:tcPr>
            <w:tcW w:w="360" w:type="dxa"/>
            <w:noWrap w:val="0"/>
            <w:vAlign w:val="center"/>
          </w:tcPr>
          <w:p>
            <w:pPr>
              <w:jc w:val="center"/>
              <w:rPr>
                <w:rFonts w:hint="eastAsia" w:ascii="宋体" w:hAnsi="宋体" w:cs="宋体"/>
                <w:b/>
                <w:bCs/>
                <w:sz w:val="24"/>
                <w:szCs w:val="24"/>
              </w:rPr>
            </w:pPr>
            <w:r>
              <w:rPr>
                <w:rFonts w:hint="eastAsia" w:ascii="宋体" w:hAnsi="宋体" w:cs="宋体"/>
                <w:b/>
                <w:bCs/>
                <w:sz w:val="24"/>
                <w:szCs w:val="24"/>
              </w:rPr>
              <w:t>子</w:t>
            </w:r>
          </w:p>
          <w:p>
            <w:pPr>
              <w:jc w:val="center"/>
              <w:rPr>
                <w:rFonts w:hint="eastAsia" w:ascii="宋体" w:hAnsi="宋体" w:cs="宋体"/>
                <w:b/>
                <w:bCs/>
                <w:sz w:val="24"/>
                <w:szCs w:val="24"/>
              </w:rPr>
            </w:pPr>
            <w:r>
              <w:rPr>
                <w:rFonts w:hint="eastAsia" w:ascii="宋体" w:hAnsi="宋体" w:cs="宋体"/>
                <w:b/>
                <w:bCs/>
                <w:sz w:val="24"/>
                <w:szCs w:val="24"/>
              </w:rPr>
              <w:t>项</w:t>
            </w:r>
          </w:p>
        </w:tc>
        <w:tc>
          <w:tcPr>
            <w:tcW w:w="4196" w:type="dxa"/>
            <w:noWrap w:val="0"/>
            <w:vAlign w:val="center"/>
          </w:tcPr>
          <w:p>
            <w:pPr>
              <w:rPr>
                <w:rFonts w:hint="eastAsia" w:ascii="宋体" w:hAnsi="宋体" w:cs="宋体"/>
                <w:b/>
                <w:bCs/>
                <w:sz w:val="24"/>
                <w:szCs w:val="24"/>
              </w:rPr>
            </w:pPr>
          </w:p>
        </w:tc>
        <w:tc>
          <w:tcPr>
            <w:tcW w:w="720" w:type="dxa"/>
            <w:vMerge w:val="continue"/>
            <w:noWrap w:val="0"/>
            <w:vAlign w:val="top"/>
          </w:tcPr>
          <w:p>
            <w:pPr>
              <w:rPr>
                <w:rFonts w:hint="eastAsia" w:ascii="宋体" w:hAnsi="宋体" w:cs="宋体"/>
                <w:b/>
                <w:bCs/>
                <w:sz w:val="24"/>
                <w:szCs w:val="24"/>
              </w:rPr>
            </w:pPr>
          </w:p>
        </w:tc>
        <w:tc>
          <w:tcPr>
            <w:tcW w:w="2036" w:type="dxa"/>
            <w:vMerge w:val="continue"/>
            <w:noWrap w:val="0"/>
            <w:vAlign w:val="top"/>
          </w:tcPr>
          <w:p>
            <w:pPr>
              <w:rPr>
                <w:rFonts w:hint="eastAsia" w:ascii="宋体" w:hAnsi="宋体" w:cs="宋体"/>
                <w:b/>
                <w:bCs/>
                <w:sz w:val="24"/>
                <w:szCs w:val="24"/>
              </w:rPr>
            </w:pPr>
          </w:p>
        </w:tc>
        <w:tc>
          <w:tcPr>
            <w:tcW w:w="2340" w:type="dxa"/>
            <w:vMerge w:val="continue"/>
            <w:noWrap w:val="0"/>
            <w:vAlign w:val="top"/>
          </w:tcPr>
          <w:p>
            <w:pPr>
              <w:rPr>
                <w:rFonts w:hint="eastAsia" w:ascii="宋体" w:hAnsi="宋体" w:cs="宋体"/>
                <w:b/>
                <w:bCs/>
                <w:sz w:val="24"/>
                <w:szCs w:val="24"/>
              </w:rPr>
            </w:pPr>
          </w:p>
        </w:tc>
        <w:tc>
          <w:tcPr>
            <w:tcW w:w="1868" w:type="dxa"/>
            <w:vMerge w:val="continue"/>
            <w:noWrap w:val="0"/>
            <w:vAlign w:val="top"/>
          </w:tcPr>
          <w:p>
            <w:pPr>
              <w:rPr>
                <w:rFonts w:hint="eastAsia" w:ascii="宋体" w:hAnsi="宋体" w:cs="宋体"/>
                <w:b/>
                <w:bCs/>
                <w:sz w:val="24"/>
                <w:szCs w:val="24"/>
              </w:rPr>
            </w:pPr>
          </w:p>
        </w:tc>
        <w:tc>
          <w:tcPr>
            <w:tcW w:w="900" w:type="dxa"/>
            <w:vMerge w:val="continue"/>
            <w:noWrap w:val="0"/>
            <w:vAlign w:val="top"/>
          </w:tcPr>
          <w:p>
            <w:pPr>
              <w:rPr>
                <w:rFonts w:hint="eastAsia" w:ascii="宋体" w:hAnsi="宋体" w:cs="宋体"/>
                <w:b/>
                <w:bCs/>
                <w:sz w:val="24"/>
                <w:szCs w:val="24"/>
              </w:rPr>
            </w:pPr>
          </w:p>
        </w:tc>
        <w:tc>
          <w:tcPr>
            <w:tcW w:w="540" w:type="dxa"/>
            <w:vMerge w:val="continue"/>
            <w:noWrap w:val="0"/>
            <w:vAlign w:val="top"/>
          </w:tcPr>
          <w:p>
            <w:pPr>
              <w:rPr>
                <w:rFonts w:hint="eastAsia" w:ascii="宋体" w:hAns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8" w:hRule="atLeast"/>
        </w:trPr>
        <w:tc>
          <w:tcPr>
            <w:tcW w:w="468" w:type="dxa"/>
            <w:noWrap w:val="0"/>
            <w:vAlign w:val="center"/>
          </w:tcPr>
          <w:p>
            <w:pPr>
              <w:widowControl/>
              <w:jc w:val="center"/>
              <w:textAlignment w:val="center"/>
              <w:rPr>
                <w:rFonts w:hint="eastAsia" w:ascii="仿宋_GB2312" w:hAnsi="仿宋" w:eastAsia="仿宋_GB2312" w:cs="仿宋"/>
                <w:color w:val="000000"/>
                <w:sz w:val="24"/>
                <w:szCs w:val="24"/>
                <w:lang w:eastAsia="zh-CN"/>
              </w:rPr>
            </w:pPr>
            <w:r>
              <w:rPr>
                <w:rFonts w:hint="eastAsia" w:ascii="宋体" w:hAnsi="宋体" w:eastAsia="仿宋_GB2312" w:cs="宋体"/>
                <w:color w:val="000000"/>
                <w:kern w:val="0"/>
                <w:sz w:val="24"/>
                <w:szCs w:val="24"/>
                <w:lang w:val="en-US" w:eastAsia="zh-CN"/>
              </w:rPr>
              <w:t>1</w:t>
            </w:r>
          </w:p>
        </w:tc>
        <w:tc>
          <w:tcPr>
            <w:tcW w:w="540" w:type="dxa"/>
            <w:noWrap w:val="0"/>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宋体" w:eastAsia="仿宋_GB2312" w:cs="仿宋_GB2312"/>
                <w:color w:val="000000"/>
                <w:kern w:val="0"/>
                <w:sz w:val="24"/>
                <w:szCs w:val="24"/>
              </w:rPr>
              <w:t>行政处罚</w:t>
            </w:r>
          </w:p>
        </w:tc>
        <w:tc>
          <w:tcPr>
            <w:tcW w:w="540" w:type="dxa"/>
            <w:noWrap w:val="0"/>
            <w:vAlign w:val="top"/>
          </w:tcPr>
          <w:p>
            <w:pPr>
              <w:widowControl/>
              <w:jc w:val="center"/>
              <w:textAlignment w:val="center"/>
              <w:rPr>
                <w:rFonts w:hint="eastAsia" w:ascii="宋体" w:hAnsi="宋体" w:cs="宋体"/>
                <w:color w:val="000000"/>
                <w:kern w:val="0"/>
                <w:sz w:val="24"/>
                <w:szCs w:val="24"/>
              </w:rPr>
            </w:pPr>
          </w:p>
        </w:tc>
        <w:tc>
          <w:tcPr>
            <w:tcW w:w="720" w:type="dxa"/>
            <w:gridSpan w:val="2"/>
            <w:noWrap w:val="0"/>
            <w:vAlign w:val="center"/>
          </w:tcPr>
          <w:p>
            <w:pPr>
              <w:widowControl/>
              <w:jc w:val="left"/>
              <w:textAlignment w:val="center"/>
              <w:rPr>
                <w:rFonts w:hint="eastAsia" w:ascii="仿宋_GB2312" w:hAnsi="宋体" w:eastAsia="仿宋_GB2312"/>
                <w:sz w:val="24"/>
                <w:szCs w:val="24"/>
              </w:rPr>
            </w:pPr>
            <w:r>
              <w:rPr>
                <w:rFonts w:hint="eastAsia" w:ascii="仿宋_GB2312" w:hAnsi="宋体" w:eastAsia="仿宋_GB2312" w:cs="仿宋_GB2312"/>
                <w:color w:val="000000"/>
                <w:kern w:val="0"/>
                <w:sz w:val="24"/>
                <w:szCs w:val="24"/>
              </w:rPr>
              <w:t>对利用水域从事旅游开发不符合水功能计划要求的处罚</w:t>
            </w:r>
          </w:p>
        </w:tc>
        <w:tc>
          <w:tcPr>
            <w:tcW w:w="4196" w:type="dxa"/>
            <w:noWrap w:val="0"/>
            <w:vAlign w:val="center"/>
          </w:tcPr>
          <w:p>
            <w:pPr>
              <w:widowControl/>
              <w:spacing w:before="156" w:beforeLines="50"/>
              <w:jc w:val="left"/>
              <w:textAlignment w:val="center"/>
              <w:rPr>
                <w:rFonts w:hint="eastAsia"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 xml:space="preserve">【地方性法规】 </w:t>
            </w:r>
            <w:bookmarkStart w:id="0" w:name="_GoBack"/>
            <w:bookmarkEnd w:id="0"/>
            <w:r>
              <w:rPr>
                <w:rFonts w:hint="eastAsia" w:ascii="仿宋_GB2312" w:hAnsi="宋体" w:eastAsia="仿宋_GB2312" w:cs="仿宋_GB2312"/>
                <w:color w:val="000000"/>
                <w:kern w:val="0"/>
                <w:szCs w:val="21"/>
              </w:rPr>
              <w:t xml:space="preserve"> 《山西省水资源管理条例》</w:t>
            </w:r>
          </w:p>
          <w:p>
            <w:pPr>
              <w:widowControl/>
              <w:spacing w:before="156" w:beforeLines="50"/>
              <w:jc w:val="left"/>
              <w:textAlignment w:val="center"/>
              <w:rPr>
                <w:rFonts w:hint="eastAsia"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 xml:space="preserve">    第五十四条　违反本条例第二十四条规定，利用水域从事旅游开发不符合水功能区划要求的，由县级以上人民政府水行政主管部门责令停止违法行为，并采取补救措施。</w:t>
            </w:r>
          </w:p>
        </w:tc>
        <w:tc>
          <w:tcPr>
            <w:tcW w:w="720" w:type="dxa"/>
            <w:noWrap w:val="0"/>
            <w:vAlign w:val="center"/>
          </w:tcPr>
          <w:p>
            <w:pPr>
              <w:widowControl/>
              <w:jc w:val="center"/>
              <w:textAlignment w:val="center"/>
              <w:rPr>
                <w:rFonts w:hint="eastAsia" w:ascii="仿宋_GB2312" w:eastAsia="仿宋_GB2312"/>
                <w:szCs w:val="21"/>
              </w:rPr>
            </w:pPr>
            <w:r>
              <w:rPr>
                <w:rFonts w:hint="eastAsia" w:ascii="仿宋_GB2312" w:hAnsi="宋体" w:eastAsia="仿宋_GB2312" w:cs="仿宋_GB2312"/>
                <w:color w:val="000000"/>
                <w:kern w:val="0"/>
                <w:szCs w:val="21"/>
              </w:rPr>
              <w:t>水政监察大队</w:t>
            </w:r>
          </w:p>
        </w:tc>
        <w:tc>
          <w:tcPr>
            <w:tcW w:w="2036" w:type="dxa"/>
            <w:noWrap w:val="0"/>
            <w:vAlign w:val="center"/>
          </w:tcPr>
          <w:p>
            <w:pPr>
              <w:widowControl/>
              <w:spacing w:line="280" w:lineRule="exact"/>
              <w:jc w:val="left"/>
              <w:textAlignment w:val="center"/>
              <w:rPr>
                <w:rFonts w:hint="eastAsia" w:ascii="仿宋_GB2312" w:eastAsia="仿宋_GB2312"/>
                <w:szCs w:val="21"/>
              </w:rPr>
            </w:pPr>
            <w:r>
              <w:rPr>
                <w:rFonts w:hint="eastAsia" w:ascii="仿宋_GB2312" w:hAnsi="宋体" w:eastAsia="仿宋_GB2312" w:cs="仿宋_GB2312"/>
                <w:color w:val="000000"/>
                <w:kern w:val="0"/>
                <w:szCs w:val="21"/>
              </w:rPr>
              <w:t>1、受理阶段责任：对经举报、交办、移送的依据管辖范围受理（不予受理的应当告知理由）；</w:t>
            </w:r>
            <w:r>
              <w:rPr>
                <w:rFonts w:hint="eastAsia" w:ascii="仿宋_GB2312" w:hAnsi="宋体" w:eastAsia="仿宋_GB2312" w:cs="仿宋_GB2312"/>
                <w:color w:val="000000"/>
                <w:kern w:val="0"/>
                <w:szCs w:val="21"/>
              </w:rPr>
              <w:br w:type="textWrapping"/>
            </w:r>
            <w:r>
              <w:rPr>
                <w:rFonts w:hint="eastAsia" w:ascii="仿宋_GB2312" w:hAnsi="宋体" w:eastAsia="仿宋_GB2312" w:cs="仿宋_GB2312"/>
                <w:color w:val="000000"/>
                <w:kern w:val="0"/>
                <w:szCs w:val="21"/>
              </w:rPr>
              <w:t>2、调查阶段责任：对照事件查找标准，对书面材料进行审核，织组现场调查走访，（调查阶段要保存影响资料），对重大事件逐级上报，不得隐瞒事件内容；</w:t>
            </w:r>
            <w:r>
              <w:rPr>
                <w:rFonts w:hint="eastAsia" w:ascii="仿宋_GB2312" w:hAnsi="宋体" w:eastAsia="仿宋_GB2312" w:cs="仿宋_GB2312"/>
                <w:color w:val="000000"/>
                <w:kern w:val="0"/>
                <w:szCs w:val="21"/>
              </w:rPr>
              <w:br w:type="textWrapping"/>
            </w:r>
            <w:r>
              <w:rPr>
                <w:rFonts w:hint="eastAsia" w:ascii="仿宋_GB2312" w:hAnsi="宋体" w:eastAsia="仿宋_GB2312" w:cs="仿宋_GB2312"/>
                <w:color w:val="000000"/>
                <w:kern w:val="0"/>
                <w:szCs w:val="21"/>
              </w:rPr>
              <w:t>3、决定阶段责任：作出行政处罚或者不予行政处罚决定，法定告知；需移交有关部门的进行移交；需申请强制执行的提出申请。</w:t>
            </w:r>
            <w:r>
              <w:rPr>
                <w:rFonts w:hint="eastAsia" w:ascii="仿宋_GB2312" w:hAnsi="宋体" w:eastAsia="仿宋_GB2312" w:cs="仿宋_GB2312"/>
                <w:color w:val="000000"/>
                <w:kern w:val="0"/>
                <w:szCs w:val="21"/>
              </w:rPr>
              <w:br w:type="textWrapping"/>
            </w:r>
            <w:r>
              <w:rPr>
                <w:rFonts w:hint="eastAsia" w:ascii="仿宋_GB2312" w:hAnsi="宋体" w:eastAsia="仿宋_GB2312" w:cs="仿宋_GB2312"/>
                <w:color w:val="000000"/>
                <w:kern w:val="0"/>
                <w:szCs w:val="21"/>
              </w:rPr>
              <w:t>4、送达阶段责任：未及时送达行政处罚决定文件等。</w:t>
            </w:r>
            <w:r>
              <w:rPr>
                <w:rFonts w:hint="eastAsia" w:ascii="仿宋_GB2312" w:hAnsi="宋体" w:eastAsia="仿宋_GB2312" w:cs="仿宋_GB2312"/>
                <w:color w:val="000000"/>
                <w:kern w:val="0"/>
                <w:szCs w:val="21"/>
              </w:rPr>
              <w:br w:type="textWrapping"/>
            </w:r>
            <w:r>
              <w:rPr>
                <w:rFonts w:hint="eastAsia" w:ascii="仿宋_GB2312" w:hAnsi="宋体" w:eastAsia="仿宋_GB2312" w:cs="仿宋_GB2312"/>
                <w:color w:val="000000"/>
                <w:kern w:val="0"/>
                <w:szCs w:val="21"/>
              </w:rPr>
              <w:t>5、事后监管责任：开展定期和不定期检查。其他法律法规规章文件规定应履行。</w:t>
            </w:r>
          </w:p>
        </w:tc>
        <w:tc>
          <w:tcPr>
            <w:tcW w:w="2340" w:type="dxa"/>
            <w:noWrap w:val="0"/>
            <w:vAlign w:val="center"/>
          </w:tcPr>
          <w:p>
            <w:pPr>
              <w:widowControl/>
              <w:spacing w:line="280" w:lineRule="exact"/>
              <w:jc w:val="left"/>
              <w:textAlignment w:val="center"/>
              <w:rPr>
                <w:rFonts w:hint="eastAsia" w:ascii="仿宋_GB2312" w:eastAsia="仿宋_GB2312"/>
                <w:szCs w:val="21"/>
              </w:rPr>
            </w:pPr>
            <w:r>
              <w:rPr>
                <w:rFonts w:hint="eastAsia" w:ascii="仿宋_GB2312" w:hAnsi="宋体" w:eastAsia="仿宋_GB2312" w:cs="仿宋_GB2312"/>
                <w:color w:val="000000"/>
                <w:kern w:val="0"/>
                <w:szCs w:val="21"/>
              </w:rPr>
              <w:t>1.受理：《行政处罚法》第三十六条 《水行政处罚实施办法》第二十条、第二十四条</w:t>
            </w:r>
            <w:r>
              <w:rPr>
                <w:rFonts w:hint="eastAsia" w:ascii="仿宋_GB2312" w:hAnsi="宋体" w:eastAsia="仿宋_GB2312" w:cs="仿宋_GB2312"/>
                <w:color w:val="000000"/>
                <w:kern w:val="0"/>
                <w:szCs w:val="21"/>
              </w:rPr>
              <w:br w:type="textWrapping"/>
            </w:r>
            <w:r>
              <w:rPr>
                <w:rFonts w:hint="eastAsia" w:ascii="仿宋_GB2312" w:hAnsi="宋体" w:eastAsia="仿宋_GB2312" w:cs="仿宋_GB2312"/>
                <w:color w:val="000000"/>
                <w:kern w:val="0"/>
                <w:szCs w:val="21"/>
              </w:rPr>
              <w:t>2.调查：《行政处罚法》第三十六条、第三十七条 《水行政处罚实施办法》第二十五条、第二十六条</w:t>
            </w:r>
            <w:r>
              <w:rPr>
                <w:rFonts w:hint="eastAsia" w:ascii="仿宋_GB2312" w:hAnsi="宋体" w:eastAsia="仿宋_GB2312" w:cs="仿宋_GB2312"/>
                <w:color w:val="000000"/>
                <w:kern w:val="0"/>
                <w:szCs w:val="21"/>
              </w:rPr>
              <w:br w:type="textWrapping"/>
            </w:r>
            <w:r>
              <w:rPr>
                <w:rFonts w:hint="eastAsia" w:ascii="仿宋_GB2312" w:hAnsi="宋体" w:eastAsia="仿宋_GB2312" w:cs="仿宋_GB2312"/>
                <w:color w:val="000000"/>
                <w:kern w:val="0"/>
                <w:szCs w:val="21"/>
              </w:rPr>
              <w:t>3.决定：《行政处罚法》第三十八条、第三十九条 《水行政处罚实施办法》第三十条、第三十一条、第三十二条</w:t>
            </w:r>
            <w:r>
              <w:rPr>
                <w:rFonts w:hint="eastAsia" w:ascii="仿宋_GB2312" w:hAnsi="宋体" w:eastAsia="仿宋_GB2312" w:cs="仿宋_GB2312"/>
                <w:color w:val="000000"/>
                <w:kern w:val="0"/>
                <w:szCs w:val="21"/>
              </w:rPr>
              <w:br w:type="textWrapping"/>
            </w:r>
            <w:r>
              <w:rPr>
                <w:rFonts w:hint="eastAsia" w:ascii="仿宋_GB2312" w:hAnsi="宋体" w:eastAsia="仿宋_GB2312" w:cs="仿宋_GB2312"/>
                <w:color w:val="000000"/>
                <w:kern w:val="0"/>
                <w:szCs w:val="21"/>
              </w:rPr>
              <w:t>4.送达：《行政处罚法》第四十条 《水行政处罚实施办法》第三十三条</w:t>
            </w:r>
            <w:r>
              <w:rPr>
                <w:rFonts w:hint="eastAsia" w:ascii="仿宋_GB2312" w:hAnsi="宋体" w:eastAsia="仿宋_GB2312" w:cs="仿宋_GB2312"/>
                <w:color w:val="000000"/>
                <w:kern w:val="0"/>
                <w:szCs w:val="21"/>
              </w:rPr>
              <w:br w:type="textWrapping"/>
            </w:r>
            <w:r>
              <w:rPr>
                <w:rFonts w:hint="eastAsia" w:ascii="仿宋_GB2312" w:hAnsi="宋体" w:eastAsia="仿宋_GB2312" w:cs="仿宋_GB2312"/>
                <w:color w:val="000000"/>
                <w:kern w:val="0"/>
                <w:szCs w:val="21"/>
              </w:rPr>
              <w:t>5.事后监管：《行政处罚法》第四十四条、第五十一条 《水行政处罚实施办法》第五十一条</w:t>
            </w:r>
          </w:p>
        </w:tc>
        <w:tc>
          <w:tcPr>
            <w:tcW w:w="1868" w:type="dxa"/>
            <w:noWrap w:val="0"/>
            <w:vAlign w:val="center"/>
          </w:tcPr>
          <w:p>
            <w:pPr>
              <w:widowControl/>
              <w:spacing w:line="240" w:lineRule="exact"/>
              <w:jc w:val="left"/>
              <w:textAlignment w:val="center"/>
              <w:rPr>
                <w:rFonts w:hint="eastAsia" w:ascii="仿宋_GB2312" w:eastAsia="仿宋_GB2312"/>
                <w:szCs w:val="21"/>
              </w:rPr>
            </w:pPr>
            <w:r>
              <w:rPr>
                <w:rFonts w:hint="eastAsia" w:ascii="仿宋_GB2312" w:hAnsi="宋体" w:eastAsia="仿宋_GB2312" w:cs="仿宋_GB2312"/>
                <w:color w:val="000000"/>
                <w:kern w:val="0"/>
                <w:szCs w:val="21"/>
              </w:rPr>
              <w:t>有下列行为之一的，应当追究相应的行政执法责任：</w:t>
            </w:r>
            <w:r>
              <w:rPr>
                <w:rFonts w:hint="eastAsia" w:ascii="仿宋_GB2312" w:hAnsi="宋体" w:eastAsia="仿宋_GB2312" w:cs="仿宋_GB2312"/>
                <w:color w:val="000000"/>
                <w:kern w:val="0"/>
                <w:szCs w:val="21"/>
              </w:rPr>
              <w:br w:type="textWrapping"/>
            </w:r>
            <w:r>
              <w:rPr>
                <w:rFonts w:hint="eastAsia" w:ascii="仿宋_GB2312" w:hAnsi="宋体" w:eastAsia="仿宋_GB2312" w:cs="仿宋_GB2312"/>
                <w:color w:val="000000"/>
                <w:kern w:val="0"/>
                <w:szCs w:val="21"/>
              </w:rPr>
              <w:t>1、无法定处罚依据和事实依据实施行政处罚的；</w:t>
            </w:r>
            <w:r>
              <w:rPr>
                <w:rFonts w:hint="eastAsia" w:ascii="仿宋_GB2312" w:hAnsi="宋体" w:eastAsia="仿宋_GB2312" w:cs="仿宋_GB2312"/>
                <w:color w:val="000000"/>
                <w:kern w:val="0"/>
                <w:szCs w:val="21"/>
              </w:rPr>
              <w:br w:type="textWrapping"/>
            </w:r>
            <w:r>
              <w:rPr>
                <w:rFonts w:hint="eastAsia" w:ascii="仿宋_GB2312" w:hAnsi="宋体" w:eastAsia="仿宋_GB2312" w:cs="仿宋_GB2312"/>
                <w:color w:val="000000"/>
                <w:kern w:val="0"/>
                <w:szCs w:val="21"/>
              </w:rPr>
              <w:t>2、委托、指派不具备法定资格的组织、人员实施行政处罚的；</w:t>
            </w:r>
            <w:r>
              <w:rPr>
                <w:rFonts w:hint="eastAsia" w:ascii="仿宋_GB2312" w:hAnsi="宋体" w:eastAsia="仿宋_GB2312" w:cs="仿宋_GB2312"/>
                <w:color w:val="000000"/>
                <w:kern w:val="0"/>
                <w:szCs w:val="21"/>
              </w:rPr>
              <w:br w:type="textWrapping"/>
            </w:r>
            <w:r>
              <w:rPr>
                <w:rFonts w:hint="eastAsia" w:ascii="仿宋_GB2312" w:hAnsi="宋体" w:eastAsia="仿宋_GB2312" w:cs="仿宋_GB2312"/>
                <w:color w:val="000000"/>
                <w:kern w:val="0"/>
                <w:szCs w:val="21"/>
              </w:rPr>
              <w:t>3、擅自设定行政处罚或者改变行政处罚种类、幅度的；</w:t>
            </w:r>
            <w:r>
              <w:rPr>
                <w:rFonts w:hint="eastAsia" w:ascii="仿宋_GB2312" w:hAnsi="宋体" w:eastAsia="仿宋_GB2312" w:cs="仿宋_GB2312"/>
                <w:color w:val="000000"/>
                <w:kern w:val="0"/>
                <w:szCs w:val="21"/>
              </w:rPr>
              <w:br w:type="textWrapping"/>
            </w:r>
            <w:r>
              <w:rPr>
                <w:rFonts w:hint="eastAsia" w:ascii="仿宋_GB2312" w:hAnsi="宋体" w:eastAsia="仿宋_GB2312" w:cs="仿宋_GB2312"/>
                <w:color w:val="000000"/>
                <w:kern w:val="0"/>
                <w:szCs w:val="21"/>
              </w:rPr>
              <w:t>4、对当事人同一违法行为给予两次以上罚款的；</w:t>
            </w:r>
            <w:r>
              <w:rPr>
                <w:rFonts w:hint="eastAsia" w:ascii="仿宋_GB2312" w:hAnsi="宋体" w:eastAsia="仿宋_GB2312" w:cs="仿宋_GB2312"/>
                <w:color w:val="000000"/>
                <w:kern w:val="0"/>
                <w:szCs w:val="21"/>
              </w:rPr>
              <w:br w:type="textWrapping"/>
            </w:r>
            <w:r>
              <w:rPr>
                <w:rFonts w:hint="eastAsia" w:ascii="仿宋_GB2312" w:hAnsi="宋体" w:eastAsia="仿宋_GB2312" w:cs="仿宋_GB2312"/>
                <w:color w:val="000000"/>
                <w:kern w:val="0"/>
                <w:szCs w:val="21"/>
              </w:rPr>
              <w:t>5、违反“罚缴分离”规定，擅自收取罚款的，或者不开具罚款单据的；</w:t>
            </w:r>
            <w:r>
              <w:rPr>
                <w:rFonts w:hint="eastAsia" w:ascii="仿宋_GB2312" w:hAnsi="宋体" w:eastAsia="仿宋_GB2312" w:cs="仿宋_GB2312"/>
                <w:color w:val="000000"/>
                <w:kern w:val="0"/>
                <w:szCs w:val="21"/>
              </w:rPr>
              <w:br w:type="textWrapping"/>
            </w:r>
            <w:r>
              <w:rPr>
                <w:rFonts w:hint="eastAsia" w:ascii="仿宋_GB2312" w:hAnsi="宋体" w:eastAsia="仿宋_GB2312" w:cs="仿宋_GB2312"/>
                <w:color w:val="000000"/>
                <w:kern w:val="0"/>
                <w:szCs w:val="21"/>
              </w:rPr>
              <w:t>6、下达、变相下达罚没指标，或者对依法应当处罚的违法行为不予处罚的；</w:t>
            </w:r>
            <w:r>
              <w:rPr>
                <w:rFonts w:hint="eastAsia" w:ascii="仿宋_GB2312" w:hAnsi="宋体" w:eastAsia="仿宋_GB2312" w:cs="仿宋_GB2312"/>
                <w:color w:val="000000"/>
                <w:kern w:val="0"/>
                <w:szCs w:val="21"/>
              </w:rPr>
              <w:br w:type="textWrapping"/>
            </w:r>
            <w:r>
              <w:rPr>
                <w:rFonts w:hint="eastAsia" w:ascii="仿宋_GB2312" w:hAnsi="宋体" w:eastAsia="仿宋_GB2312" w:cs="仿宋_GB2312"/>
                <w:color w:val="000000"/>
                <w:kern w:val="0"/>
                <w:szCs w:val="21"/>
              </w:rPr>
              <w:t>7、依法应移交司法机关处理而没有移交以及以行政处罚代替刑事处罚的；</w:t>
            </w:r>
            <w:r>
              <w:rPr>
                <w:rFonts w:hint="eastAsia" w:ascii="仿宋_GB2312" w:hAnsi="宋体" w:eastAsia="仿宋_GB2312" w:cs="仿宋_GB2312"/>
                <w:color w:val="000000"/>
                <w:kern w:val="0"/>
                <w:szCs w:val="21"/>
              </w:rPr>
              <w:br w:type="textWrapping"/>
            </w:r>
            <w:r>
              <w:rPr>
                <w:rFonts w:hint="eastAsia" w:ascii="仿宋_GB2312" w:hAnsi="宋体" w:eastAsia="仿宋_GB2312" w:cs="仿宋_GB2312"/>
                <w:color w:val="000000"/>
                <w:kern w:val="0"/>
                <w:szCs w:val="21"/>
              </w:rPr>
              <w:t>8、依法应当组织听证而不组织听证的；</w:t>
            </w:r>
            <w:r>
              <w:rPr>
                <w:rFonts w:hint="eastAsia" w:ascii="仿宋_GB2312" w:hAnsi="宋体" w:eastAsia="仿宋_GB2312" w:cs="仿宋_GB2312"/>
                <w:color w:val="000000"/>
                <w:kern w:val="0"/>
                <w:szCs w:val="21"/>
              </w:rPr>
              <w:br w:type="textWrapping"/>
            </w:r>
            <w:r>
              <w:rPr>
                <w:rFonts w:hint="eastAsia" w:ascii="仿宋_GB2312" w:hAnsi="宋体" w:eastAsia="仿宋_GB2312" w:cs="仿宋_GB2312"/>
                <w:color w:val="000000"/>
                <w:kern w:val="0"/>
                <w:szCs w:val="21"/>
              </w:rPr>
              <w:t>9、重大行政处罚按规定标准应当报送备案而不报送备案的；</w:t>
            </w:r>
            <w:r>
              <w:rPr>
                <w:rFonts w:hint="eastAsia" w:ascii="仿宋_GB2312" w:hAnsi="宋体" w:eastAsia="仿宋_GB2312" w:cs="仿宋_GB2312"/>
                <w:color w:val="000000"/>
                <w:kern w:val="0"/>
                <w:szCs w:val="21"/>
              </w:rPr>
              <w:br w:type="textWrapping"/>
            </w:r>
            <w:r>
              <w:rPr>
                <w:rFonts w:hint="eastAsia" w:ascii="仿宋_GB2312" w:hAnsi="宋体" w:eastAsia="仿宋_GB2312" w:cs="仿宋_GB2312"/>
                <w:color w:val="000000"/>
                <w:kern w:val="0"/>
                <w:szCs w:val="21"/>
              </w:rPr>
              <w:t>10、行政处罚显失公正的；</w:t>
            </w:r>
            <w:r>
              <w:rPr>
                <w:rFonts w:hint="eastAsia" w:ascii="仿宋_GB2312" w:hAnsi="宋体" w:eastAsia="仿宋_GB2312" w:cs="仿宋_GB2312"/>
                <w:color w:val="000000"/>
                <w:kern w:val="0"/>
                <w:szCs w:val="21"/>
              </w:rPr>
              <w:br w:type="textWrapping"/>
            </w:r>
            <w:r>
              <w:rPr>
                <w:rFonts w:hint="eastAsia" w:ascii="仿宋_GB2312" w:hAnsi="宋体" w:eastAsia="仿宋_GB2312" w:cs="仿宋_GB2312"/>
                <w:color w:val="000000"/>
                <w:kern w:val="0"/>
                <w:szCs w:val="21"/>
              </w:rPr>
              <w:t>11、其它违反行政处罚规定的行为。</w:t>
            </w:r>
          </w:p>
        </w:tc>
        <w:tc>
          <w:tcPr>
            <w:tcW w:w="900" w:type="dxa"/>
            <w:noWrap w:val="0"/>
            <w:vAlign w:val="center"/>
          </w:tcPr>
          <w:p>
            <w:pPr>
              <w:widowControl/>
              <w:jc w:val="left"/>
              <w:textAlignment w:val="center"/>
              <w:rPr>
                <w:rFonts w:hint="eastAsia" w:ascii="仿宋_GB2312" w:eastAsia="仿宋_GB2312"/>
                <w:szCs w:val="21"/>
              </w:rPr>
            </w:pPr>
            <w:r>
              <w:rPr>
                <w:rFonts w:hint="eastAsia" w:ascii="仿宋_GB2312" w:hAnsi="宋体" w:eastAsia="仿宋_GB2312" w:cs="仿宋_GB2312"/>
                <w:color w:val="000000"/>
                <w:kern w:val="0"/>
                <w:szCs w:val="21"/>
              </w:rPr>
              <w:t>【法律】《中华人民共和国行政处罚法》第五十五条，第五十八条，第六十条，第六十一条，第六十二条</w:t>
            </w:r>
          </w:p>
        </w:tc>
        <w:tc>
          <w:tcPr>
            <w:tcW w:w="540" w:type="dxa"/>
            <w:noWrap w:val="0"/>
            <w:vAlign w:val="center"/>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8" w:hRule="atLeast"/>
        </w:trPr>
        <w:tc>
          <w:tcPr>
            <w:tcW w:w="468" w:type="dxa"/>
            <w:noWrap w:val="0"/>
            <w:vAlign w:val="center"/>
          </w:tcPr>
          <w:p>
            <w:pPr>
              <w:widowControl/>
              <w:jc w:val="center"/>
              <w:textAlignment w:val="center"/>
              <w:rPr>
                <w:rFonts w:hint="eastAsia" w:ascii="仿宋_GB2312" w:hAnsi="仿宋" w:eastAsia="仿宋_GB2312" w:cs="仿宋"/>
                <w:color w:val="000000"/>
                <w:sz w:val="24"/>
                <w:szCs w:val="24"/>
                <w:lang w:eastAsia="zh-CN"/>
              </w:rPr>
            </w:pPr>
            <w:r>
              <w:rPr>
                <w:rFonts w:hint="eastAsia" w:ascii="宋体" w:hAnsi="宋体" w:eastAsia="仿宋_GB2312" w:cs="宋体"/>
                <w:color w:val="000000"/>
                <w:kern w:val="0"/>
                <w:sz w:val="24"/>
                <w:szCs w:val="24"/>
                <w:lang w:val="en-US" w:eastAsia="zh-CN"/>
              </w:rPr>
              <w:t>2</w:t>
            </w:r>
          </w:p>
        </w:tc>
        <w:tc>
          <w:tcPr>
            <w:tcW w:w="540" w:type="dxa"/>
            <w:noWrap w:val="0"/>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宋体" w:eastAsia="仿宋_GB2312" w:cs="仿宋_GB2312"/>
                <w:color w:val="000000"/>
                <w:kern w:val="0"/>
                <w:sz w:val="24"/>
                <w:szCs w:val="24"/>
              </w:rPr>
              <w:t>行政处罚</w:t>
            </w:r>
          </w:p>
        </w:tc>
        <w:tc>
          <w:tcPr>
            <w:tcW w:w="540" w:type="dxa"/>
            <w:noWrap w:val="0"/>
            <w:vAlign w:val="top"/>
          </w:tcPr>
          <w:p>
            <w:pPr>
              <w:widowControl/>
              <w:jc w:val="center"/>
              <w:textAlignment w:val="center"/>
              <w:rPr>
                <w:rFonts w:hint="eastAsia" w:ascii="宋体" w:hAnsi="宋体" w:cs="宋体"/>
                <w:color w:val="000000"/>
                <w:kern w:val="0"/>
                <w:sz w:val="24"/>
                <w:szCs w:val="24"/>
              </w:rPr>
            </w:pPr>
          </w:p>
        </w:tc>
        <w:tc>
          <w:tcPr>
            <w:tcW w:w="720" w:type="dxa"/>
            <w:gridSpan w:val="2"/>
            <w:noWrap w:val="0"/>
            <w:vAlign w:val="center"/>
          </w:tcPr>
          <w:p>
            <w:pPr>
              <w:widowControl/>
              <w:jc w:val="left"/>
              <w:textAlignment w:val="center"/>
              <w:rPr>
                <w:rFonts w:hint="eastAsia" w:ascii="仿宋_GB2312" w:hAnsi="宋体" w:eastAsia="仿宋_GB2312"/>
                <w:sz w:val="24"/>
                <w:szCs w:val="24"/>
              </w:rPr>
            </w:pPr>
            <w:r>
              <w:rPr>
                <w:rFonts w:hint="eastAsia" w:ascii="仿宋_GB2312" w:hAnsi="宋体" w:eastAsia="仿宋_GB2312" w:cs="仿宋_GB2312"/>
                <w:color w:val="000000"/>
                <w:kern w:val="0"/>
                <w:sz w:val="24"/>
                <w:szCs w:val="24"/>
              </w:rPr>
              <w:t>对损坏水工程或在水工程保护范围内从事危害水工程安全的行为的处罚</w:t>
            </w:r>
          </w:p>
        </w:tc>
        <w:tc>
          <w:tcPr>
            <w:tcW w:w="4196" w:type="dxa"/>
            <w:noWrap w:val="0"/>
            <w:vAlign w:val="center"/>
          </w:tcPr>
          <w:p>
            <w:pPr>
              <w:widowControl/>
              <w:spacing w:before="156" w:beforeLines="50"/>
              <w:jc w:val="left"/>
              <w:textAlignment w:val="center"/>
              <w:rPr>
                <w:rFonts w:hint="eastAsia"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【法律】  《中华人民共和国水法》</w:t>
            </w:r>
          </w:p>
          <w:p>
            <w:pPr>
              <w:widowControl/>
              <w:spacing w:before="156" w:beforeLines="50"/>
              <w:jc w:val="left"/>
              <w:textAlignment w:val="center"/>
              <w:rPr>
                <w:rFonts w:hint="eastAsia"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 xml:space="preserve">    第七十二条：有下列行为之一，构成犯罪的，依照刑法的有关规定追究刑事责任；尚不够刑事处罚，且防洪法未作规定的，由县级以上地方人民政府水行政主管部门或者流域管理机构依据职权，责令停止违法行为，采取补救措施，处一万元以上五万元以下的罚款；违反治安管理处罚条例的，由公安机关依法给予治安管理处罚；给他人造成损失的，依法承担赔偿责任：①侵占、毁坏水工程及堤防、护岸等有关设施，毁坏防汛、水文监测、水文地质监测设施的；②在水工程保护范围内，从事影响水工程运行和危害水工程安全的爆破、打井、采石、取土等活动的。</w:t>
            </w:r>
          </w:p>
          <w:p>
            <w:pPr>
              <w:widowControl/>
              <w:spacing w:before="156" w:beforeLines="50"/>
              <w:ind w:firstLine="420" w:firstLineChars="200"/>
              <w:jc w:val="left"/>
              <w:textAlignment w:val="center"/>
              <w:rPr>
                <w:rFonts w:hint="eastAsia"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第四十五条：违反本条例规定，有下列行为之一的，县级以上地方人民政府河道主管机关除责令其纠正违法行为、赔偿损失、采取补救措施外，可以并处警告、罚款；应当给予治安管理处罚的，按照《中华人民共和国治安管理处罚条例》的规定处罚；构成犯罪的，依法追究刑事责任：①损毁堤防、护岸、闸坝、水工程建筑物，损毁防汛设施、水文监测和测量设施、河岸地质监测设施以及通信照明等设施；②在堤防安全保护区内进行打井、钻探、爆破、挖筑鱼塘、采石、取土等危害堤防安全的活动的；③非管理人员操作河道上的涵闸闸门或者干扰河道管理单位正常工作的。</w:t>
            </w:r>
          </w:p>
        </w:tc>
        <w:tc>
          <w:tcPr>
            <w:tcW w:w="720" w:type="dxa"/>
            <w:noWrap w:val="0"/>
            <w:vAlign w:val="center"/>
          </w:tcPr>
          <w:p>
            <w:pPr>
              <w:widowControl/>
              <w:jc w:val="center"/>
              <w:textAlignment w:val="center"/>
              <w:rPr>
                <w:rFonts w:hint="eastAsia" w:ascii="仿宋_GB2312" w:eastAsia="仿宋_GB2312"/>
                <w:szCs w:val="21"/>
              </w:rPr>
            </w:pPr>
            <w:r>
              <w:rPr>
                <w:rFonts w:hint="eastAsia" w:ascii="仿宋_GB2312" w:hAnsi="宋体" w:eastAsia="仿宋_GB2312" w:cs="仿宋_GB2312"/>
                <w:kern w:val="0"/>
                <w:szCs w:val="21"/>
              </w:rPr>
              <w:t>陵川县水务局水政监察大队</w:t>
            </w:r>
          </w:p>
        </w:tc>
        <w:tc>
          <w:tcPr>
            <w:tcW w:w="2036" w:type="dxa"/>
            <w:noWrap w:val="0"/>
            <w:vAlign w:val="center"/>
          </w:tcPr>
          <w:p>
            <w:pPr>
              <w:widowControl/>
              <w:spacing w:line="280" w:lineRule="exact"/>
              <w:jc w:val="left"/>
              <w:textAlignment w:val="center"/>
              <w:rPr>
                <w:rFonts w:hint="eastAsia" w:ascii="仿宋_GB2312" w:eastAsia="仿宋_GB2312"/>
                <w:szCs w:val="21"/>
              </w:rPr>
            </w:pPr>
            <w:r>
              <w:rPr>
                <w:rFonts w:hint="eastAsia" w:ascii="仿宋_GB2312" w:hAnsi="宋体" w:eastAsia="仿宋_GB2312" w:cs="仿宋_GB2312"/>
                <w:color w:val="000000"/>
                <w:kern w:val="0"/>
                <w:szCs w:val="21"/>
              </w:rPr>
              <w:t>1、受理阶段责任：对经举报、交办、移送的依据管辖范围受理（不予受理的应当告知理由）；</w:t>
            </w:r>
            <w:r>
              <w:rPr>
                <w:rFonts w:hint="eastAsia" w:ascii="仿宋_GB2312" w:hAnsi="宋体" w:eastAsia="仿宋_GB2312" w:cs="仿宋_GB2312"/>
                <w:color w:val="000000"/>
                <w:kern w:val="0"/>
                <w:szCs w:val="21"/>
              </w:rPr>
              <w:br w:type="textWrapping"/>
            </w:r>
            <w:r>
              <w:rPr>
                <w:rFonts w:hint="eastAsia" w:ascii="仿宋_GB2312" w:hAnsi="宋体" w:eastAsia="仿宋_GB2312" w:cs="仿宋_GB2312"/>
                <w:color w:val="000000"/>
                <w:kern w:val="0"/>
                <w:szCs w:val="21"/>
              </w:rPr>
              <w:t>2、调查阶段责任：对照事件查找标准，对书面材料进行审核，织组现场调查走访，（调查阶段要保存影响资料），对重大事件逐级上报，不得隐瞒事件内容；</w:t>
            </w:r>
            <w:r>
              <w:rPr>
                <w:rFonts w:hint="eastAsia" w:ascii="仿宋_GB2312" w:hAnsi="宋体" w:eastAsia="仿宋_GB2312" w:cs="仿宋_GB2312"/>
                <w:color w:val="000000"/>
                <w:kern w:val="0"/>
                <w:szCs w:val="21"/>
              </w:rPr>
              <w:br w:type="textWrapping"/>
            </w:r>
            <w:r>
              <w:rPr>
                <w:rFonts w:hint="eastAsia" w:ascii="仿宋_GB2312" w:hAnsi="宋体" w:eastAsia="仿宋_GB2312" w:cs="仿宋_GB2312"/>
                <w:color w:val="000000"/>
                <w:kern w:val="0"/>
                <w:szCs w:val="21"/>
              </w:rPr>
              <w:t>3、决定阶段责任：作出行政处罚或者不予行政处罚决定，法定告知；需移交有关部门的进行移交；需申请强制执行的提出申请。</w:t>
            </w:r>
            <w:r>
              <w:rPr>
                <w:rFonts w:hint="eastAsia" w:ascii="仿宋_GB2312" w:hAnsi="宋体" w:eastAsia="仿宋_GB2312" w:cs="仿宋_GB2312"/>
                <w:color w:val="000000"/>
                <w:kern w:val="0"/>
                <w:szCs w:val="21"/>
              </w:rPr>
              <w:br w:type="textWrapping"/>
            </w:r>
            <w:r>
              <w:rPr>
                <w:rFonts w:hint="eastAsia" w:ascii="仿宋_GB2312" w:hAnsi="宋体" w:eastAsia="仿宋_GB2312" w:cs="仿宋_GB2312"/>
                <w:color w:val="000000"/>
                <w:kern w:val="0"/>
                <w:szCs w:val="21"/>
              </w:rPr>
              <w:t>4、送达阶段责任：未及时送达行政处罚决定文件等。</w:t>
            </w:r>
            <w:r>
              <w:rPr>
                <w:rFonts w:hint="eastAsia" w:ascii="仿宋_GB2312" w:hAnsi="宋体" w:eastAsia="仿宋_GB2312" w:cs="仿宋_GB2312"/>
                <w:color w:val="000000"/>
                <w:kern w:val="0"/>
                <w:szCs w:val="21"/>
              </w:rPr>
              <w:br w:type="textWrapping"/>
            </w:r>
            <w:r>
              <w:rPr>
                <w:rFonts w:hint="eastAsia" w:ascii="仿宋_GB2312" w:hAnsi="宋体" w:eastAsia="仿宋_GB2312" w:cs="仿宋_GB2312"/>
                <w:color w:val="000000"/>
                <w:kern w:val="0"/>
                <w:szCs w:val="21"/>
              </w:rPr>
              <w:t>5、事后监管责任：开展定期和不定期检查。其他法律法规规章文件规定应履行。</w:t>
            </w:r>
          </w:p>
        </w:tc>
        <w:tc>
          <w:tcPr>
            <w:tcW w:w="2340" w:type="dxa"/>
            <w:noWrap w:val="0"/>
            <w:vAlign w:val="center"/>
          </w:tcPr>
          <w:p>
            <w:pPr>
              <w:widowControl/>
              <w:spacing w:line="280" w:lineRule="exact"/>
              <w:jc w:val="left"/>
              <w:textAlignment w:val="center"/>
              <w:rPr>
                <w:rFonts w:hint="eastAsia" w:ascii="仿宋_GB2312" w:eastAsia="仿宋_GB2312"/>
                <w:szCs w:val="21"/>
              </w:rPr>
            </w:pPr>
            <w:r>
              <w:rPr>
                <w:rFonts w:hint="eastAsia" w:ascii="仿宋_GB2312" w:hAnsi="宋体" w:eastAsia="仿宋_GB2312" w:cs="仿宋_GB2312"/>
                <w:color w:val="000000"/>
                <w:kern w:val="0"/>
                <w:szCs w:val="21"/>
              </w:rPr>
              <w:t>1.受理：《行政处罚法》第</w:t>
            </w:r>
            <w:r>
              <w:rPr>
                <w:rFonts w:hint="eastAsia" w:ascii="仿宋_GB2312" w:hAnsi="宋体" w:eastAsia="仿宋_GB2312" w:cs="仿宋_GB2312"/>
                <w:color w:val="000000"/>
                <w:kern w:val="0"/>
                <w:szCs w:val="21"/>
                <w:lang w:eastAsia="zh-CN"/>
              </w:rPr>
              <w:t>二十二</w:t>
            </w:r>
            <w:r>
              <w:rPr>
                <w:rFonts w:hint="eastAsia" w:ascii="仿宋_GB2312" w:hAnsi="宋体" w:eastAsia="仿宋_GB2312" w:cs="仿宋_GB2312"/>
                <w:color w:val="000000"/>
                <w:kern w:val="0"/>
                <w:szCs w:val="21"/>
              </w:rPr>
              <w:t>条</w:t>
            </w:r>
            <w:r>
              <w:rPr>
                <w:rFonts w:hint="eastAsia" w:ascii="仿宋_GB2312" w:hAnsi="宋体" w:eastAsia="仿宋_GB2312" w:cs="仿宋_GB2312"/>
                <w:color w:val="000000"/>
                <w:kern w:val="0"/>
                <w:szCs w:val="21"/>
                <w:lang w:eastAsia="zh-CN"/>
              </w:rPr>
              <w:t>、第二十三条</w:t>
            </w:r>
            <w:r>
              <w:rPr>
                <w:rFonts w:hint="eastAsia" w:ascii="仿宋_GB2312" w:hAnsi="宋体" w:eastAsia="仿宋_GB2312" w:cs="仿宋_GB2312"/>
                <w:color w:val="000000"/>
                <w:kern w:val="0"/>
                <w:szCs w:val="21"/>
              </w:rPr>
              <w:t xml:space="preserve"> 《水行政处罚实施办法》第二十条、第二十四条</w:t>
            </w:r>
            <w:r>
              <w:rPr>
                <w:rFonts w:hint="eastAsia" w:ascii="仿宋_GB2312" w:hAnsi="宋体" w:eastAsia="仿宋_GB2312" w:cs="仿宋_GB2312"/>
                <w:color w:val="000000"/>
                <w:kern w:val="0"/>
                <w:szCs w:val="21"/>
              </w:rPr>
              <w:br w:type="textWrapping"/>
            </w:r>
            <w:r>
              <w:rPr>
                <w:rFonts w:hint="eastAsia" w:ascii="仿宋_GB2312" w:hAnsi="宋体" w:eastAsia="仿宋_GB2312" w:cs="仿宋_GB2312"/>
                <w:color w:val="000000"/>
                <w:kern w:val="0"/>
                <w:szCs w:val="21"/>
              </w:rPr>
              <w:t>2.调查：《行政处罚法》第</w:t>
            </w:r>
            <w:r>
              <w:rPr>
                <w:rFonts w:hint="eastAsia" w:ascii="仿宋_GB2312" w:hAnsi="宋体" w:eastAsia="仿宋_GB2312" w:cs="仿宋_GB2312"/>
                <w:color w:val="000000"/>
                <w:kern w:val="0"/>
                <w:szCs w:val="21"/>
                <w:lang w:eastAsia="zh-CN"/>
              </w:rPr>
              <w:t>五十四</w:t>
            </w:r>
            <w:r>
              <w:rPr>
                <w:rFonts w:hint="eastAsia" w:ascii="仿宋_GB2312" w:hAnsi="宋体" w:eastAsia="仿宋_GB2312" w:cs="仿宋_GB2312"/>
                <w:color w:val="000000"/>
                <w:kern w:val="0"/>
                <w:szCs w:val="21"/>
              </w:rPr>
              <w:t>条、第</w:t>
            </w:r>
            <w:r>
              <w:rPr>
                <w:rFonts w:hint="eastAsia" w:ascii="仿宋_GB2312" w:hAnsi="宋体" w:eastAsia="仿宋_GB2312" w:cs="仿宋_GB2312"/>
                <w:color w:val="000000"/>
                <w:kern w:val="0"/>
                <w:szCs w:val="21"/>
                <w:lang w:eastAsia="zh-CN"/>
              </w:rPr>
              <w:t>五十五</w:t>
            </w:r>
            <w:r>
              <w:rPr>
                <w:rFonts w:hint="eastAsia" w:ascii="仿宋_GB2312" w:hAnsi="宋体" w:eastAsia="仿宋_GB2312" w:cs="仿宋_GB2312"/>
                <w:color w:val="000000"/>
                <w:kern w:val="0"/>
                <w:szCs w:val="21"/>
              </w:rPr>
              <w:t>条</w:t>
            </w:r>
            <w:r>
              <w:rPr>
                <w:rFonts w:hint="eastAsia" w:ascii="仿宋_GB2312" w:hAnsi="宋体" w:eastAsia="仿宋_GB2312" w:cs="仿宋_GB2312"/>
                <w:color w:val="000000"/>
                <w:kern w:val="0"/>
                <w:szCs w:val="21"/>
                <w:lang w:eastAsia="zh-CN"/>
              </w:rPr>
              <w:t>、第五十六条</w:t>
            </w:r>
            <w:r>
              <w:rPr>
                <w:rFonts w:hint="eastAsia" w:ascii="仿宋_GB2312" w:hAnsi="宋体" w:eastAsia="仿宋_GB2312" w:cs="仿宋_GB2312"/>
                <w:color w:val="000000"/>
                <w:kern w:val="0"/>
                <w:szCs w:val="21"/>
              </w:rPr>
              <w:t xml:space="preserve"> 《水行政处罚实施办法》第二十五条、第二十六条</w:t>
            </w:r>
            <w:r>
              <w:rPr>
                <w:rFonts w:hint="eastAsia" w:ascii="仿宋_GB2312" w:hAnsi="宋体" w:eastAsia="仿宋_GB2312" w:cs="仿宋_GB2312"/>
                <w:color w:val="000000"/>
                <w:kern w:val="0"/>
                <w:szCs w:val="21"/>
              </w:rPr>
              <w:br w:type="textWrapping"/>
            </w:r>
            <w:r>
              <w:rPr>
                <w:rFonts w:hint="eastAsia" w:ascii="仿宋_GB2312" w:hAnsi="宋体" w:eastAsia="仿宋_GB2312" w:cs="仿宋_GB2312"/>
                <w:color w:val="000000"/>
                <w:kern w:val="0"/>
                <w:szCs w:val="21"/>
              </w:rPr>
              <w:t>3.决定：《行政处罚法》第</w:t>
            </w:r>
            <w:r>
              <w:rPr>
                <w:rFonts w:hint="eastAsia" w:ascii="仿宋_GB2312" w:hAnsi="宋体" w:eastAsia="仿宋_GB2312" w:cs="仿宋_GB2312"/>
                <w:color w:val="000000"/>
                <w:kern w:val="0"/>
                <w:szCs w:val="21"/>
                <w:lang w:eastAsia="zh-CN"/>
              </w:rPr>
              <w:t>五十七</w:t>
            </w:r>
            <w:r>
              <w:rPr>
                <w:rFonts w:hint="eastAsia" w:ascii="仿宋_GB2312" w:hAnsi="宋体" w:eastAsia="仿宋_GB2312" w:cs="仿宋_GB2312"/>
                <w:color w:val="000000"/>
                <w:kern w:val="0"/>
                <w:szCs w:val="21"/>
              </w:rPr>
              <w:t>条《水行政处罚实施办法》第三十条、第三十一条、第三十二条</w:t>
            </w:r>
            <w:r>
              <w:rPr>
                <w:rFonts w:hint="eastAsia" w:ascii="仿宋_GB2312" w:hAnsi="宋体" w:eastAsia="仿宋_GB2312" w:cs="仿宋_GB2312"/>
                <w:color w:val="000000"/>
                <w:kern w:val="0"/>
                <w:szCs w:val="21"/>
              </w:rPr>
              <w:br w:type="textWrapping"/>
            </w:r>
            <w:r>
              <w:rPr>
                <w:rFonts w:hint="eastAsia" w:ascii="仿宋_GB2312" w:hAnsi="宋体" w:eastAsia="仿宋_GB2312" w:cs="仿宋_GB2312"/>
                <w:color w:val="000000"/>
                <w:kern w:val="0"/>
                <w:szCs w:val="21"/>
              </w:rPr>
              <w:t>4.送达：《行政处罚法》第</w:t>
            </w:r>
            <w:r>
              <w:rPr>
                <w:rFonts w:hint="eastAsia" w:ascii="仿宋_GB2312" w:hAnsi="宋体" w:eastAsia="仿宋_GB2312" w:cs="仿宋_GB2312"/>
                <w:color w:val="000000"/>
                <w:kern w:val="0"/>
                <w:szCs w:val="21"/>
                <w:lang w:eastAsia="zh-CN"/>
              </w:rPr>
              <w:t>六十一</w:t>
            </w:r>
            <w:r>
              <w:rPr>
                <w:rFonts w:hint="eastAsia" w:ascii="仿宋_GB2312" w:hAnsi="宋体" w:eastAsia="仿宋_GB2312" w:cs="仿宋_GB2312"/>
                <w:color w:val="000000"/>
                <w:kern w:val="0"/>
                <w:szCs w:val="21"/>
              </w:rPr>
              <w:t>条 《水行政处罚实施办法》第三十三条</w:t>
            </w:r>
            <w:r>
              <w:rPr>
                <w:rFonts w:hint="eastAsia" w:ascii="仿宋_GB2312" w:hAnsi="宋体" w:eastAsia="仿宋_GB2312" w:cs="仿宋_GB2312"/>
                <w:color w:val="000000"/>
                <w:kern w:val="0"/>
                <w:szCs w:val="21"/>
              </w:rPr>
              <w:br w:type="textWrapping"/>
            </w:r>
            <w:r>
              <w:rPr>
                <w:rFonts w:hint="eastAsia" w:ascii="仿宋_GB2312" w:hAnsi="宋体" w:eastAsia="仿宋_GB2312" w:cs="仿宋_GB2312"/>
                <w:color w:val="000000"/>
                <w:kern w:val="0"/>
                <w:szCs w:val="21"/>
              </w:rPr>
              <w:t>5.事后监管：《水行政处罚实施办法》第五十一条</w:t>
            </w:r>
          </w:p>
        </w:tc>
        <w:tc>
          <w:tcPr>
            <w:tcW w:w="1868" w:type="dxa"/>
            <w:noWrap w:val="0"/>
            <w:vAlign w:val="center"/>
          </w:tcPr>
          <w:p>
            <w:pPr>
              <w:widowControl/>
              <w:spacing w:line="240" w:lineRule="exact"/>
              <w:jc w:val="left"/>
              <w:textAlignment w:val="center"/>
              <w:rPr>
                <w:rFonts w:hint="eastAsia" w:ascii="仿宋_GB2312" w:eastAsia="仿宋_GB2312"/>
                <w:szCs w:val="21"/>
              </w:rPr>
            </w:pPr>
            <w:r>
              <w:rPr>
                <w:rFonts w:hint="eastAsia" w:ascii="仿宋_GB2312" w:hAnsi="宋体" w:eastAsia="仿宋_GB2312" w:cs="仿宋_GB2312"/>
                <w:color w:val="000000"/>
                <w:kern w:val="0"/>
                <w:szCs w:val="21"/>
              </w:rPr>
              <w:t>有下列行为之一的，应当追究相应的行政执法责任：</w:t>
            </w:r>
            <w:r>
              <w:rPr>
                <w:rFonts w:hint="eastAsia" w:ascii="仿宋_GB2312" w:hAnsi="宋体" w:eastAsia="仿宋_GB2312" w:cs="仿宋_GB2312"/>
                <w:color w:val="000000"/>
                <w:kern w:val="0"/>
                <w:szCs w:val="21"/>
              </w:rPr>
              <w:br w:type="textWrapping"/>
            </w:r>
            <w:r>
              <w:rPr>
                <w:rFonts w:hint="eastAsia" w:ascii="仿宋_GB2312" w:hAnsi="宋体" w:eastAsia="仿宋_GB2312" w:cs="仿宋_GB2312"/>
                <w:color w:val="000000"/>
                <w:kern w:val="0"/>
                <w:szCs w:val="21"/>
              </w:rPr>
              <w:t>1、无法定处罚依据和事实依据实施行政处罚的；</w:t>
            </w:r>
            <w:r>
              <w:rPr>
                <w:rFonts w:hint="eastAsia" w:ascii="仿宋_GB2312" w:hAnsi="宋体" w:eastAsia="仿宋_GB2312" w:cs="仿宋_GB2312"/>
                <w:color w:val="000000"/>
                <w:kern w:val="0"/>
                <w:szCs w:val="21"/>
              </w:rPr>
              <w:br w:type="textWrapping"/>
            </w:r>
            <w:r>
              <w:rPr>
                <w:rFonts w:hint="eastAsia" w:ascii="仿宋_GB2312" w:hAnsi="宋体" w:eastAsia="仿宋_GB2312" w:cs="仿宋_GB2312"/>
                <w:color w:val="000000"/>
                <w:kern w:val="0"/>
                <w:szCs w:val="21"/>
              </w:rPr>
              <w:t>2、委托、指派不具备法定资格的组织、人员实施行政处罚的；</w:t>
            </w:r>
            <w:r>
              <w:rPr>
                <w:rFonts w:hint="eastAsia" w:ascii="仿宋_GB2312" w:hAnsi="宋体" w:eastAsia="仿宋_GB2312" w:cs="仿宋_GB2312"/>
                <w:color w:val="000000"/>
                <w:kern w:val="0"/>
                <w:szCs w:val="21"/>
              </w:rPr>
              <w:br w:type="textWrapping"/>
            </w:r>
            <w:r>
              <w:rPr>
                <w:rFonts w:hint="eastAsia" w:ascii="仿宋_GB2312" w:hAnsi="宋体" w:eastAsia="仿宋_GB2312" w:cs="仿宋_GB2312"/>
                <w:color w:val="000000"/>
                <w:kern w:val="0"/>
                <w:szCs w:val="21"/>
              </w:rPr>
              <w:t>3、擅自设定行政处罚或者改变行政处罚种类、幅度的；</w:t>
            </w:r>
            <w:r>
              <w:rPr>
                <w:rFonts w:hint="eastAsia" w:ascii="仿宋_GB2312" w:hAnsi="宋体" w:eastAsia="仿宋_GB2312" w:cs="仿宋_GB2312"/>
                <w:color w:val="000000"/>
                <w:kern w:val="0"/>
                <w:szCs w:val="21"/>
              </w:rPr>
              <w:br w:type="textWrapping"/>
            </w:r>
            <w:r>
              <w:rPr>
                <w:rFonts w:hint="eastAsia" w:ascii="仿宋_GB2312" w:hAnsi="宋体" w:eastAsia="仿宋_GB2312" w:cs="仿宋_GB2312"/>
                <w:color w:val="000000"/>
                <w:kern w:val="0"/>
                <w:szCs w:val="21"/>
              </w:rPr>
              <w:t>4、对当事人同一违法行为给予两次以上罚款的；</w:t>
            </w:r>
            <w:r>
              <w:rPr>
                <w:rFonts w:hint="eastAsia" w:ascii="仿宋_GB2312" w:hAnsi="宋体" w:eastAsia="仿宋_GB2312" w:cs="仿宋_GB2312"/>
                <w:color w:val="000000"/>
                <w:kern w:val="0"/>
                <w:szCs w:val="21"/>
              </w:rPr>
              <w:br w:type="textWrapping"/>
            </w:r>
            <w:r>
              <w:rPr>
                <w:rFonts w:hint="eastAsia" w:ascii="仿宋_GB2312" w:hAnsi="宋体" w:eastAsia="仿宋_GB2312" w:cs="仿宋_GB2312"/>
                <w:color w:val="000000"/>
                <w:kern w:val="0"/>
                <w:szCs w:val="21"/>
              </w:rPr>
              <w:t>5、违反“罚缴分离”规定，擅自收取罚款的，或者不开具罚款单据的；</w:t>
            </w:r>
            <w:r>
              <w:rPr>
                <w:rFonts w:hint="eastAsia" w:ascii="仿宋_GB2312" w:hAnsi="宋体" w:eastAsia="仿宋_GB2312" w:cs="仿宋_GB2312"/>
                <w:color w:val="000000"/>
                <w:kern w:val="0"/>
                <w:szCs w:val="21"/>
              </w:rPr>
              <w:br w:type="textWrapping"/>
            </w:r>
            <w:r>
              <w:rPr>
                <w:rFonts w:hint="eastAsia" w:ascii="仿宋_GB2312" w:hAnsi="宋体" w:eastAsia="仿宋_GB2312" w:cs="仿宋_GB2312"/>
                <w:color w:val="000000"/>
                <w:kern w:val="0"/>
                <w:szCs w:val="21"/>
              </w:rPr>
              <w:t>6、下达、变相下达罚没指标，或者对依法应当处罚的违法行为不予处罚的；</w:t>
            </w:r>
            <w:r>
              <w:rPr>
                <w:rFonts w:hint="eastAsia" w:ascii="仿宋_GB2312" w:hAnsi="宋体" w:eastAsia="仿宋_GB2312" w:cs="仿宋_GB2312"/>
                <w:color w:val="000000"/>
                <w:kern w:val="0"/>
                <w:szCs w:val="21"/>
              </w:rPr>
              <w:br w:type="textWrapping"/>
            </w:r>
            <w:r>
              <w:rPr>
                <w:rFonts w:hint="eastAsia" w:ascii="仿宋_GB2312" w:hAnsi="宋体" w:eastAsia="仿宋_GB2312" w:cs="仿宋_GB2312"/>
                <w:color w:val="000000"/>
                <w:kern w:val="0"/>
                <w:szCs w:val="21"/>
              </w:rPr>
              <w:t>7、依法应移交司法机关处理而没有移交以及以行政处罚代替刑事处罚的；</w:t>
            </w:r>
            <w:r>
              <w:rPr>
                <w:rFonts w:hint="eastAsia" w:ascii="仿宋_GB2312" w:hAnsi="宋体" w:eastAsia="仿宋_GB2312" w:cs="仿宋_GB2312"/>
                <w:color w:val="000000"/>
                <w:kern w:val="0"/>
                <w:szCs w:val="21"/>
              </w:rPr>
              <w:br w:type="textWrapping"/>
            </w:r>
            <w:r>
              <w:rPr>
                <w:rFonts w:hint="eastAsia" w:ascii="仿宋_GB2312" w:hAnsi="宋体" w:eastAsia="仿宋_GB2312" w:cs="仿宋_GB2312"/>
                <w:color w:val="000000"/>
                <w:kern w:val="0"/>
                <w:szCs w:val="21"/>
              </w:rPr>
              <w:t>8、依法应当组织听证而不组织听证的；</w:t>
            </w:r>
            <w:r>
              <w:rPr>
                <w:rFonts w:hint="eastAsia" w:ascii="仿宋_GB2312" w:hAnsi="宋体" w:eastAsia="仿宋_GB2312" w:cs="仿宋_GB2312"/>
                <w:color w:val="000000"/>
                <w:kern w:val="0"/>
                <w:szCs w:val="21"/>
              </w:rPr>
              <w:br w:type="textWrapping"/>
            </w:r>
            <w:r>
              <w:rPr>
                <w:rFonts w:hint="eastAsia" w:ascii="仿宋_GB2312" w:hAnsi="宋体" w:eastAsia="仿宋_GB2312" w:cs="仿宋_GB2312"/>
                <w:color w:val="000000"/>
                <w:kern w:val="0"/>
                <w:szCs w:val="21"/>
              </w:rPr>
              <w:t>9、重大行政处罚按规定标准应当报送备案而不报送备案的；</w:t>
            </w:r>
            <w:r>
              <w:rPr>
                <w:rFonts w:hint="eastAsia" w:ascii="仿宋_GB2312" w:hAnsi="宋体" w:eastAsia="仿宋_GB2312" w:cs="仿宋_GB2312"/>
                <w:color w:val="000000"/>
                <w:kern w:val="0"/>
                <w:szCs w:val="21"/>
              </w:rPr>
              <w:br w:type="textWrapping"/>
            </w:r>
            <w:r>
              <w:rPr>
                <w:rFonts w:hint="eastAsia" w:ascii="仿宋_GB2312" w:hAnsi="宋体" w:eastAsia="仿宋_GB2312" w:cs="仿宋_GB2312"/>
                <w:color w:val="000000"/>
                <w:kern w:val="0"/>
                <w:szCs w:val="21"/>
              </w:rPr>
              <w:t>10、行政处罚显失公正的；</w:t>
            </w:r>
            <w:r>
              <w:rPr>
                <w:rFonts w:hint="eastAsia" w:ascii="仿宋_GB2312" w:hAnsi="宋体" w:eastAsia="仿宋_GB2312" w:cs="仿宋_GB2312"/>
                <w:color w:val="000000"/>
                <w:kern w:val="0"/>
                <w:szCs w:val="21"/>
              </w:rPr>
              <w:br w:type="textWrapping"/>
            </w:r>
            <w:r>
              <w:rPr>
                <w:rFonts w:hint="eastAsia" w:ascii="仿宋_GB2312" w:hAnsi="宋体" w:eastAsia="仿宋_GB2312" w:cs="仿宋_GB2312"/>
                <w:color w:val="000000"/>
                <w:kern w:val="0"/>
                <w:szCs w:val="21"/>
              </w:rPr>
              <w:t>11、其它违反行政处罚规定的行为。</w:t>
            </w:r>
          </w:p>
        </w:tc>
        <w:tc>
          <w:tcPr>
            <w:tcW w:w="900" w:type="dxa"/>
            <w:noWrap w:val="0"/>
            <w:vAlign w:val="center"/>
          </w:tcPr>
          <w:p>
            <w:pPr>
              <w:widowControl/>
              <w:jc w:val="left"/>
              <w:textAlignment w:val="center"/>
              <w:rPr>
                <w:rFonts w:hint="eastAsia"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【法律】《中华人民共和国行政处罚法》第五十五、第五十六条、第五十七条、第五十八条、第五十九条、第六十条、第六十一条、第六十二条</w:t>
            </w:r>
          </w:p>
          <w:p>
            <w:pPr>
              <w:widowControl/>
              <w:jc w:val="left"/>
              <w:textAlignment w:val="center"/>
              <w:rPr>
                <w:rFonts w:hint="eastAsia"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【法律】《中华人民共和国水土保持法》第四十七条</w:t>
            </w:r>
          </w:p>
        </w:tc>
        <w:tc>
          <w:tcPr>
            <w:tcW w:w="540" w:type="dxa"/>
            <w:noWrap w:val="0"/>
            <w:vAlign w:val="center"/>
          </w:tcPr>
          <w:p>
            <w:pPr>
              <w:widowControl/>
              <w:jc w:val="left"/>
              <w:textAlignment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2" w:hRule="atLeast"/>
        </w:trPr>
        <w:tc>
          <w:tcPr>
            <w:tcW w:w="468" w:type="dxa"/>
            <w:noWrap w:val="0"/>
            <w:vAlign w:val="center"/>
          </w:tcPr>
          <w:p>
            <w:pPr>
              <w:widowControl/>
              <w:jc w:val="center"/>
              <w:textAlignment w:val="center"/>
              <w:rPr>
                <w:rFonts w:hint="eastAsia" w:ascii="仿宋_GB2312" w:hAnsi="宋体" w:eastAsia="仿宋_GB2312" w:cs="仿宋_GB2312"/>
                <w:color w:val="000000"/>
                <w:kern w:val="0"/>
                <w:sz w:val="24"/>
                <w:szCs w:val="24"/>
                <w:lang w:eastAsia="zh-CN"/>
              </w:rPr>
            </w:pPr>
            <w:r>
              <w:rPr>
                <w:rFonts w:hint="eastAsia" w:ascii="宋体" w:hAnsi="宋体" w:eastAsia="仿宋_GB2312" w:cs="宋体"/>
                <w:color w:val="000000"/>
                <w:kern w:val="0"/>
                <w:sz w:val="24"/>
                <w:szCs w:val="24"/>
                <w:lang w:val="en-US" w:eastAsia="zh-CN"/>
              </w:rPr>
              <w:t>3</w:t>
            </w:r>
          </w:p>
        </w:tc>
        <w:tc>
          <w:tcPr>
            <w:tcW w:w="540" w:type="dxa"/>
            <w:noWrap w:val="0"/>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宋体" w:eastAsia="仿宋_GB2312" w:cs="仿宋_GB2312"/>
                <w:color w:val="000000"/>
                <w:kern w:val="0"/>
                <w:sz w:val="24"/>
                <w:szCs w:val="24"/>
              </w:rPr>
              <w:t>行政裁决</w:t>
            </w:r>
          </w:p>
        </w:tc>
        <w:tc>
          <w:tcPr>
            <w:tcW w:w="540" w:type="dxa"/>
            <w:noWrap w:val="0"/>
            <w:vAlign w:val="top"/>
          </w:tcPr>
          <w:p>
            <w:pPr>
              <w:widowControl/>
              <w:jc w:val="center"/>
              <w:textAlignment w:val="center"/>
              <w:rPr>
                <w:rFonts w:hint="eastAsia" w:ascii="宋体" w:hAnsi="宋体" w:cs="宋体"/>
                <w:color w:val="000000"/>
                <w:kern w:val="0"/>
                <w:sz w:val="24"/>
                <w:szCs w:val="24"/>
              </w:rPr>
            </w:pPr>
          </w:p>
        </w:tc>
        <w:tc>
          <w:tcPr>
            <w:tcW w:w="720" w:type="dxa"/>
            <w:gridSpan w:val="2"/>
            <w:noWrap w:val="0"/>
            <w:vAlign w:val="center"/>
          </w:tcPr>
          <w:p>
            <w:pPr>
              <w:widowControl/>
              <w:jc w:val="left"/>
              <w:textAlignment w:val="center"/>
              <w:rPr>
                <w:rFonts w:hint="eastAsia" w:ascii="仿宋_GB2312" w:hAnsi="宋体" w:eastAsia="仿宋_GB2312"/>
                <w:sz w:val="24"/>
                <w:szCs w:val="24"/>
              </w:rPr>
            </w:pPr>
            <w:r>
              <w:rPr>
                <w:rFonts w:hint="eastAsia" w:ascii="仿宋_GB2312" w:hAnsi="宋体" w:eastAsia="仿宋_GB2312" w:cs="仿宋_GB2312"/>
                <w:color w:val="000000"/>
                <w:kern w:val="0"/>
                <w:sz w:val="24"/>
                <w:szCs w:val="24"/>
              </w:rPr>
              <w:t>水事纠纷裁决</w:t>
            </w:r>
          </w:p>
        </w:tc>
        <w:tc>
          <w:tcPr>
            <w:tcW w:w="4196" w:type="dxa"/>
            <w:noWrap w:val="0"/>
            <w:vAlign w:val="center"/>
          </w:tcPr>
          <w:p>
            <w:pPr>
              <w:widowControl/>
              <w:spacing w:before="156" w:beforeLines="50"/>
              <w:jc w:val="left"/>
              <w:textAlignment w:val="center"/>
              <w:rPr>
                <w:rFonts w:hint="eastAsia"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【法律】　《中华人民共和国水法》</w:t>
            </w:r>
          </w:p>
          <w:p>
            <w:pPr>
              <w:widowControl/>
              <w:spacing w:before="156" w:beforeLines="50"/>
              <w:ind w:firstLine="420" w:firstLineChars="200"/>
              <w:jc w:val="left"/>
              <w:textAlignment w:val="center"/>
              <w:rPr>
                <w:rFonts w:hint="eastAsia"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第五十六条　不同行政区域之间发生水事纠纷的，应当协商处理；协商不成的，由上一级人民政府裁决，有关各方必须遵照执行。在水事纠纷解决前，未经各方达成协议或者共同的上一级人民政府批准，在行政区域交界线两侧一定范围内，任何一方不得修建排水、阻水、取水和截(蓄)水工程，不得单方面改变水的现状。</w:t>
            </w:r>
            <w:r>
              <w:rPr>
                <w:rFonts w:hint="eastAsia" w:ascii="仿宋_GB2312" w:hAnsi="宋体" w:eastAsia="仿宋_GB2312" w:cs="仿宋_GB2312"/>
                <w:color w:val="000000"/>
                <w:kern w:val="0"/>
                <w:szCs w:val="21"/>
              </w:rPr>
              <w:br w:type="textWrapping"/>
            </w:r>
            <w:r>
              <w:rPr>
                <w:rFonts w:hint="eastAsia" w:ascii="仿宋_GB2312" w:hAnsi="宋体" w:eastAsia="仿宋_GB2312" w:cs="仿宋_GB2312"/>
                <w:color w:val="000000"/>
                <w:kern w:val="0"/>
                <w:szCs w:val="21"/>
              </w:rPr>
              <w:t>　　《中华人民共和国水土保持法》</w:t>
            </w:r>
          </w:p>
          <w:p>
            <w:pPr>
              <w:widowControl/>
              <w:spacing w:before="156" w:beforeLines="50"/>
              <w:ind w:firstLine="420" w:firstLineChars="200"/>
              <w:jc w:val="left"/>
              <w:textAlignment w:val="center"/>
              <w:rPr>
                <w:rFonts w:hint="eastAsia"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第四十六条不同行政区域之间发生水土流失纠纷应当协商解决；协商不成的，由共同的上一级人民政府裁决。</w:t>
            </w:r>
          </w:p>
        </w:tc>
        <w:tc>
          <w:tcPr>
            <w:tcW w:w="720" w:type="dxa"/>
            <w:noWrap w:val="0"/>
            <w:vAlign w:val="center"/>
          </w:tcPr>
          <w:p>
            <w:pPr>
              <w:widowControl/>
              <w:jc w:val="center"/>
              <w:textAlignment w:val="center"/>
              <w:rPr>
                <w:rFonts w:hint="eastAsia" w:ascii="仿宋_GB2312" w:eastAsia="仿宋_GB2312"/>
                <w:szCs w:val="21"/>
              </w:rPr>
            </w:pPr>
            <w:r>
              <w:rPr>
                <w:rFonts w:hint="eastAsia" w:ascii="仿宋_GB2312" w:hAnsi="宋体" w:eastAsia="仿宋_GB2312" w:cs="仿宋_GB2312"/>
                <w:color w:val="000000"/>
                <w:kern w:val="0"/>
                <w:szCs w:val="21"/>
              </w:rPr>
              <w:t>陵川县水政监察大队</w:t>
            </w:r>
          </w:p>
        </w:tc>
        <w:tc>
          <w:tcPr>
            <w:tcW w:w="2036" w:type="dxa"/>
            <w:noWrap w:val="0"/>
            <w:vAlign w:val="center"/>
          </w:tcPr>
          <w:p>
            <w:pPr>
              <w:widowControl/>
              <w:spacing w:line="280" w:lineRule="exact"/>
              <w:jc w:val="left"/>
              <w:textAlignment w:val="center"/>
              <w:rPr>
                <w:rFonts w:hint="eastAsia" w:ascii="仿宋_GB2312" w:hAnsi="宋体" w:eastAsia="仿宋_GB2312"/>
                <w:szCs w:val="21"/>
              </w:rPr>
            </w:pPr>
            <w:r>
              <w:rPr>
                <w:rFonts w:hint="eastAsia" w:ascii="仿宋_GB2312" w:hAnsi="宋体" w:eastAsia="仿宋_GB2312" w:cs="仿宋_GB2312"/>
                <w:color w:val="000000"/>
                <w:kern w:val="0"/>
                <w:szCs w:val="21"/>
              </w:rPr>
              <w:t>1、受理责任：公示申请条件、法定期限、需要提供的申请书及其他资料（申请人及被申请人的基本本情况，申请裁决的要求和理由，有关证据材料等），一次性告知补正的材料，对符合条件的应当予以受理，不符合条件的，不予受理并通知申请人。</w:t>
            </w:r>
            <w:r>
              <w:rPr>
                <w:rFonts w:hint="eastAsia" w:ascii="仿宋_GB2312" w:hAnsi="宋体" w:eastAsia="仿宋_GB2312" w:cs="仿宋_GB2312"/>
                <w:color w:val="000000"/>
                <w:kern w:val="0"/>
                <w:szCs w:val="21"/>
              </w:rPr>
              <w:br w:type="textWrapping"/>
            </w:r>
            <w:r>
              <w:rPr>
                <w:rFonts w:hint="eastAsia" w:ascii="仿宋_GB2312" w:hAnsi="宋体" w:eastAsia="仿宋_GB2312" w:cs="仿宋_GB2312"/>
                <w:color w:val="000000"/>
                <w:kern w:val="0"/>
                <w:szCs w:val="21"/>
              </w:rPr>
              <w:t>2、审查责任：通知权属争议的申请人及对方当事人，并要求对方当事人在规定的期限内提交答辩书及有关证据材料。水行政主管部门对争议的实施、证据材料进行审查，针对疑问情况或经当事人申请可以组织听证，也派出工作组现场调查了解情况。</w:t>
            </w:r>
            <w:r>
              <w:rPr>
                <w:rFonts w:hint="eastAsia" w:ascii="仿宋_GB2312" w:hAnsi="宋体" w:eastAsia="仿宋_GB2312" w:cs="仿宋_GB2312"/>
                <w:color w:val="000000"/>
                <w:kern w:val="0"/>
                <w:szCs w:val="21"/>
              </w:rPr>
              <w:br w:type="textWrapping"/>
            </w:r>
            <w:r>
              <w:rPr>
                <w:rFonts w:hint="eastAsia" w:ascii="仿宋_GB2312" w:hAnsi="宋体" w:eastAsia="仿宋_GB2312" w:cs="仿宋_GB2312"/>
                <w:color w:val="000000"/>
                <w:kern w:val="0"/>
                <w:szCs w:val="21"/>
              </w:rPr>
              <w:t>3、裁决责任：根据事实和法律、法规作出裁决，制作并向当事人送达裁决书。</w:t>
            </w:r>
            <w:r>
              <w:rPr>
                <w:rFonts w:hint="eastAsia" w:ascii="仿宋_GB2312" w:hAnsi="宋体" w:eastAsia="仿宋_GB2312" w:cs="仿宋_GB2312"/>
                <w:color w:val="000000"/>
                <w:kern w:val="0"/>
                <w:szCs w:val="21"/>
              </w:rPr>
              <w:br w:type="textWrapping"/>
            </w:r>
            <w:r>
              <w:rPr>
                <w:rFonts w:hint="eastAsia" w:ascii="仿宋_GB2312" w:hAnsi="宋体" w:eastAsia="仿宋_GB2312" w:cs="仿宋_GB2312"/>
                <w:color w:val="000000"/>
                <w:kern w:val="0"/>
                <w:szCs w:val="21"/>
              </w:rPr>
              <w:t>4、执行责任：水事纠纷裁决生效后，争议各方应当自觉履行，水行政主管部门应当对执行情况进行监督检查，发现的问题应当及时向政府和有关部门通报。</w:t>
            </w:r>
            <w:r>
              <w:rPr>
                <w:rFonts w:hint="eastAsia" w:ascii="仿宋_GB2312" w:hAnsi="宋体" w:eastAsia="仿宋_GB2312" w:cs="仿宋_GB2312"/>
                <w:color w:val="000000"/>
                <w:kern w:val="0"/>
                <w:szCs w:val="21"/>
              </w:rPr>
              <w:br w:type="textWrapping"/>
            </w:r>
            <w:r>
              <w:rPr>
                <w:rFonts w:hint="eastAsia" w:ascii="仿宋_GB2312" w:hAnsi="宋体" w:eastAsia="仿宋_GB2312" w:cs="仿宋_GB2312"/>
                <w:color w:val="000000"/>
                <w:spacing w:val="-11"/>
                <w:kern w:val="0"/>
                <w:szCs w:val="21"/>
              </w:rPr>
              <w:t>5、其他法律法规政策规定应当履行的责任。</w:t>
            </w:r>
          </w:p>
        </w:tc>
        <w:tc>
          <w:tcPr>
            <w:tcW w:w="2340" w:type="dxa"/>
            <w:noWrap w:val="0"/>
            <w:vAlign w:val="center"/>
          </w:tcPr>
          <w:p>
            <w:pPr>
              <w:widowControl/>
              <w:spacing w:line="280" w:lineRule="exact"/>
              <w:jc w:val="left"/>
              <w:textAlignment w:val="center"/>
              <w:rPr>
                <w:rFonts w:hint="eastAsia" w:ascii="仿宋_GB2312" w:hAnsi="宋体" w:eastAsia="仿宋_GB2312"/>
                <w:szCs w:val="21"/>
              </w:rPr>
            </w:pPr>
            <w:r>
              <w:rPr>
                <w:rFonts w:hint="eastAsia" w:ascii="仿宋_GB2312" w:hAnsi="宋体" w:eastAsia="仿宋_GB2312" w:cs="仿宋_GB2312"/>
                <w:color w:val="000000"/>
                <w:kern w:val="0"/>
                <w:szCs w:val="21"/>
              </w:rPr>
              <w:t>1、受理：《省际水事纠纷预防和处理办法》 第五条</w:t>
            </w:r>
            <w:r>
              <w:rPr>
                <w:rFonts w:hint="eastAsia" w:ascii="仿宋_GB2312" w:hAnsi="宋体" w:eastAsia="仿宋_GB2312" w:cs="仿宋_GB2312"/>
                <w:color w:val="000000"/>
                <w:kern w:val="0"/>
                <w:szCs w:val="21"/>
              </w:rPr>
              <w:br w:type="textWrapping"/>
            </w:r>
            <w:r>
              <w:rPr>
                <w:rFonts w:hint="eastAsia" w:ascii="仿宋_GB2312" w:hAnsi="宋体" w:eastAsia="仿宋_GB2312" w:cs="仿宋_GB2312"/>
                <w:color w:val="000000"/>
                <w:kern w:val="0"/>
                <w:szCs w:val="21"/>
              </w:rPr>
              <w:t>2、审查：《省际水事纠纷预防和处理办法》第十四条</w:t>
            </w:r>
            <w:r>
              <w:rPr>
                <w:rFonts w:hint="eastAsia" w:ascii="仿宋_GB2312" w:hAnsi="宋体" w:eastAsia="仿宋_GB2312" w:cs="仿宋_GB2312"/>
                <w:color w:val="000000"/>
                <w:kern w:val="0"/>
                <w:szCs w:val="21"/>
              </w:rPr>
              <w:br w:type="textWrapping"/>
            </w:r>
            <w:r>
              <w:rPr>
                <w:rFonts w:hint="eastAsia" w:ascii="仿宋_GB2312" w:hAnsi="宋体" w:eastAsia="仿宋_GB2312" w:cs="仿宋_GB2312"/>
                <w:color w:val="000000"/>
                <w:kern w:val="0"/>
                <w:szCs w:val="21"/>
              </w:rPr>
              <w:t>3、裁决：《省际水事纠纷预防和处理办法》第十四条</w:t>
            </w:r>
            <w:r>
              <w:rPr>
                <w:rFonts w:hint="eastAsia" w:ascii="仿宋_GB2312" w:hAnsi="宋体" w:eastAsia="仿宋_GB2312" w:cs="仿宋_GB2312"/>
                <w:color w:val="000000"/>
                <w:kern w:val="0"/>
                <w:szCs w:val="21"/>
              </w:rPr>
              <w:br w:type="textWrapping"/>
            </w:r>
            <w:r>
              <w:rPr>
                <w:rFonts w:hint="eastAsia" w:ascii="仿宋_GB2312" w:hAnsi="宋体" w:eastAsia="仿宋_GB2312" w:cs="仿宋_GB2312"/>
                <w:color w:val="000000"/>
                <w:kern w:val="0"/>
                <w:szCs w:val="21"/>
              </w:rPr>
              <w:t>4、执行：《省际水事纠纷预防和处理办法》第十四条</w:t>
            </w:r>
          </w:p>
        </w:tc>
        <w:tc>
          <w:tcPr>
            <w:tcW w:w="1868" w:type="dxa"/>
            <w:noWrap w:val="0"/>
            <w:vAlign w:val="center"/>
          </w:tcPr>
          <w:p>
            <w:pPr>
              <w:widowControl/>
              <w:spacing w:line="280" w:lineRule="exact"/>
              <w:jc w:val="left"/>
              <w:textAlignment w:val="center"/>
              <w:rPr>
                <w:rFonts w:hint="eastAsia" w:ascii="仿宋_GB2312" w:hAnsi="宋体" w:eastAsia="仿宋_GB2312"/>
                <w:szCs w:val="21"/>
              </w:rPr>
            </w:pPr>
            <w:r>
              <w:rPr>
                <w:rFonts w:hint="eastAsia" w:ascii="仿宋_GB2312" w:hAnsi="宋体" w:eastAsia="仿宋_GB2312" w:cs="仿宋_GB2312"/>
                <w:color w:val="000000"/>
                <w:kern w:val="0"/>
                <w:szCs w:val="21"/>
              </w:rPr>
              <w:t>因不履行或不正确履行行政职责，有下列情形的，行政机关及相关工作人员应承担相应责任：</w:t>
            </w:r>
            <w:r>
              <w:rPr>
                <w:rFonts w:hint="eastAsia" w:ascii="仿宋_GB2312" w:hAnsi="宋体" w:eastAsia="仿宋_GB2312" w:cs="仿宋_GB2312"/>
                <w:color w:val="000000"/>
                <w:kern w:val="0"/>
                <w:szCs w:val="21"/>
              </w:rPr>
              <w:br w:type="textWrapping"/>
            </w:r>
            <w:r>
              <w:rPr>
                <w:rFonts w:hint="eastAsia" w:ascii="仿宋_GB2312" w:hAnsi="宋体" w:eastAsia="仿宋_GB2312" w:cs="仿宋_GB2312"/>
                <w:color w:val="000000"/>
                <w:kern w:val="0"/>
                <w:szCs w:val="21"/>
              </w:rPr>
              <w:t>1、对符合条件的区域水事纠纷裁决申请不予受理、裁决的；</w:t>
            </w:r>
            <w:r>
              <w:rPr>
                <w:rFonts w:hint="eastAsia" w:ascii="仿宋_GB2312" w:hAnsi="宋体" w:eastAsia="仿宋_GB2312" w:cs="仿宋_GB2312"/>
                <w:color w:val="000000"/>
                <w:kern w:val="0"/>
                <w:szCs w:val="21"/>
              </w:rPr>
              <w:br w:type="textWrapping"/>
            </w:r>
            <w:r>
              <w:rPr>
                <w:rFonts w:hint="eastAsia" w:ascii="仿宋_GB2312" w:hAnsi="宋体" w:eastAsia="仿宋_GB2312" w:cs="仿宋_GB2312"/>
                <w:color w:val="000000"/>
                <w:kern w:val="0"/>
                <w:szCs w:val="21"/>
              </w:rPr>
              <w:t>2、对不符合条件的区域水事纠纷裁决申请受理、裁决的；</w:t>
            </w:r>
            <w:r>
              <w:rPr>
                <w:rFonts w:hint="eastAsia" w:ascii="仿宋_GB2312" w:hAnsi="宋体" w:eastAsia="仿宋_GB2312" w:cs="仿宋_GB2312"/>
                <w:color w:val="000000"/>
                <w:kern w:val="0"/>
                <w:szCs w:val="21"/>
              </w:rPr>
              <w:br w:type="textWrapping"/>
            </w:r>
            <w:r>
              <w:rPr>
                <w:rFonts w:hint="eastAsia" w:ascii="仿宋_GB2312" w:hAnsi="宋体" w:eastAsia="仿宋_GB2312" w:cs="仿宋_GB2312"/>
                <w:color w:val="000000"/>
                <w:kern w:val="0"/>
                <w:szCs w:val="21"/>
              </w:rPr>
              <w:t>3、因裁决不当给当事人造成损失的；</w:t>
            </w:r>
            <w:r>
              <w:rPr>
                <w:rFonts w:hint="eastAsia" w:ascii="仿宋_GB2312" w:hAnsi="宋体" w:eastAsia="仿宋_GB2312" w:cs="仿宋_GB2312"/>
                <w:color w:val="000000"/>
                <w:kern w:val="0"/>
                <w:szCs w:val="21"/>
              </w:rPr>
              <w:br w:type="textWrapping"/>
            </w:r>
            <w:r>
              <w:rPr>
                <w:rFonts w:hint="eastAsia" w:ascii="仿宋_GB2312" w:hAnsi="宋体" w:eastAsia="仿宋_GB2312" w:cs="仿宋_GB2312"/>
                <w:color w:val="000000"/>
                <w:kern w:val="0"/>
                <w:szCs w:val="21"/>
              </w:rPr>
              <w:t>4、对当事人要求听证，应于组织听证而不组织听证的；</w:t>
            </w:r>
            <w:r>
              <w:rPr>
                <w:rFonts w:hint="eastAsia" w:ascii="仿宋_GB2312" w:hAnsi="宋体" w:eastAsia="仿宋_GB2312" w:cs="仿宋_GB2312"/>
                <w:color w:val="000000"/>
                <w:kern w:val="0"/>
                <w:szCs w:val="21"/>
              </w:rPr>
              <w:br w:type="textWrapping"/>
            </w:r>
            <w:r>
              <w:rPr>
                <w:rFonts w:hint="eastAsia" w:ascii="仿宋_GB2312" w:hAnsi="宋体" w:eastAsia="仿宋_GB2312" w:cs="仿宋_GB2312"/>
                <w:color w:val="000000"/>
                <w:kern w:val="0"/>
                <w:szCs w:val="21"/>
              </w:rPr>
              <w:t>5、在行政裁决工作玩忽职守，滥用职权，致使公民、法人或者其他组织的合法权益、公共利益和社会秩序遭受损失的；</w:t>
            </w:r>
            <w:r>
              <w:rPr>
                <w:rFonts w:hint="eastAsia" w:ascii="仿宋_GB2312" w:hAnsi="宋体" w:eastAsia="仿宋_GB2312" w:cs="仿宋_GB2312"/>
                <w:color w:val="000000"/>
                <w:kern w:val="0"/>
                <w:szCs w:val="21"/>
              </w:rPr>
              <w:br w:type="textWrapping"/>
            </w:r>
            <w:r>
              <w:rPr>
                <w:rFonts w:hint="eastAsia" w:ascii="仿宋_GB2312" w:hAnsi="宋体" w:eastAsia="仿宋_GB2312" w:cs="仿宋_GB2312"/>
                <w:color w:val="000000"/>
                <w:kern w:val="0"/>
                <w:szCs w:val="21"/>
              </w:rPr>
              <w:t>6、对纠纷没有认真核查导致事实认定不准，裁决决定错误的；</w:t>
            </w:r>
            <w:r>
              <w:rPr>
                <w:rFonts w:hint="eastAsia" w:ascii="仿宋_GB2312" w:hAnsi="宋体" w:eastAsia="仿宋_GB2312" w:cs="仿宋_GB2312"/>
                <w:color w:val="000000"/>
                <w:kern w:val="0"/>
                <w:szCs w:val="21"/>
              </w:rPr>
              <w:br w:type="textWrapping"/>
            </w:r>
            <w:r>
              <w:rPr>
                <w:rFonts w:hint="eastAsia" w:ascii="仿宋_GB2312" w:hAnsi="宋体" w:eastAsia="仿宋_GB2312" w:cs="仿宋_GB2312"/>
                <w:color w:val="000000"/>
                <w:kern w:val="0"/>
                <w:szCs w:val="21"/>
              </w:rPr>
              <w:t>7、在行政裁决过程中发生腐败行为的；</w:t>
            </w:r>
            <w:r>
              <w:rPr>
                <w:rFonts w:hint="eastAsia" w:ascii="仿宋_GB2312" w:hAnsi="宋体" w:eastAsia="仿宋_GB2312" w:cs="仿宋_GB2312"/>
                <w:color w:val="000000"/>
                <w:kern w:val="0"/>
                <w:szCs w:val="21"/>
              </w:rPr>
              <w:br w:type="textWrapping"/>
            </w:r>
            <w:r>
              <w:rPr>
                <w:rFonts w:hint="eastAsia" w:ascii="仿宋_GB2312" w:hAnsi="宋体" w:eastAsia="仿宋_GB2312" w:cs="仿宋_GB2312"/>
                <w:color w:val="000000"/>
                <w:kern w:val="0"/>
                <w:szCs w:val="21"/>
              </w:rPr>
              <w:t>8、其他违反法律法规政策规定的行为。9、应当告知当事人而没有履行告知义务的。</w:t>
            </w:r>
          </w:p>
        </w:tc>
        <w:tc>
          <w:tcPr>
            <w:tcW w:w="900" w:type="dxa"/>
            <w:noWrap w:val="0"/>
            <w:vAlign w:val="center"/>
          </w:tcPr>
          <w:p>
            <w:pPr>
              <w:widowControl/>
              <w:jc w:val="left"/>
              <w:textAlignment w:val="center"/>
              <w:rPr>
                <w:rFonts w:hint="eastAsia" w:ascii="仿宋_GB2312" w:hAnsi="宋体" w:eastAsia="仿宋_GB2312"/>
                <w:szCs w:val="21"/>
              </w:rPr>
            </w:pPr>
          </w:p>
        </w:tc>
        <w:tc>
          <w:tcPr>
            <w:tcW w:w="540" w:type="dxa"/>
            <w:noWrap w:val="0"/>
            <w:vAlign w:val="center"/>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trPr>
        <w:tc>
          <w:tcPr>
            <w:tcW w:w="468" w:type="dxa"/>
            <w:noWrap w:val="0"/>
            <w:vAlign w:val="center"/>
          </w:tcPr>
          <w:p>
            <w:pPr>
              <w:widowControl/>
              <w:jc w:val="center"/>
              <w:textAlignment w:val="center"/>
              <w:rPr>
                <w:rFonts w:hint="eastAsia" w:ascii="仿宋_GB2312" w:hAnsi="仿宋" w:eastAsia="仿宋_GB2312" w:cs="仿宋"/>
                <w:color w:val="000000"/>
                <w:sz w:val="24"/>
                <w:szCs w:val="24"/>
                <w:lang w:eastAsia="zh-CN"/>
              </w:rPr>
            </w:pPr>
            <w:r>
              <w:rPr>
                <w:rFonts w:hint="eastAsia" w:ascii="宋体" w:hAnsi="宋体" w:eastAsia="仿宋_GB2312" w:cs="宋体"/>
                <w:color w:val="000000"/>
                <w:kern w:val="0"/>
                <w:sz w:val="24"/>
                <w:szCs w:val="24"/>
                <w:lang w:val="en-US" w:eastAsia="zh-CN"/>
              </w:rPr>
              <w:t>4</w:t>
            </w:r>
          </w:p>
        </w:tc>
        <w:tc>
          <w:tcPr>
            <w:tcW w:w="540" w:type="dxa"/>
            <w:noWrap w:val="0"/>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宋体" w:eastAsia="仿宋_GB2312" w:cs="仿宋_GB2312"/>
                <w:color w:val="000000"/>
                <w:kern w:val="0"/>
                <w:sz w:val="24"/>
                <w:szCs w:val="24"/>
              </w:rPr>
              <w:t>其他权力</w:t>
            </w:r>
          </w:p>
        </w:tc>
        <w:tc>
          <w:tcPr>
            <w:tcW w:w="540" w:type="dxa"/>
            <w:noWrap w:val="0"/>
            <w:vAlign w:val="top"/>
          </w:tcPr>
          <w:p>
            <w:pPr>
              <w:widowControl/>
              <w:jc w:val="center"/>
              <w:textAlignment w:val="center"/>
              <w:rPr>
                <w:rFonts w:hint="eastAsia" w:ascii="宋体" w:hAnsi="宋体" w:cs="宋体"/>
                <w:color w:val="000000"/>
                <w:kern w:val="0"/>
                <w:sz w:val="24"/>
                <w:szCs w:val="24"/>
              </w:rPr>
            </w:pPr>
          </w:p>
        </w:tc>
        <w:tc>
          <w:tcPr>
            <w:tcW w:w="720" w:type="dxa"/>
            <w:gridSpan w:val="2"/>
            <w:noWrap w:val="0"/>
            <w:vAlign w:val="center"/>
          </w:tcPr>
          <w:p>
            <w:pPr>
              <w:widowControl/>
              <w:jc w:val="left"/>
              <w:textAlignment w:val="center"/>
              <w:rPr>
                <w:rFonts w:hint="eastAsia" w:ascii="仿宋_GB2312" w:hAnsi="宋体" w:eastAsia="仿宋_GB2312"/>
                <w:sz w:val="24"/>
                <w:szCs w:val="24"/>
              </w:rPr>
            </w:pPr>
            <w:r>
              <w:rPr>
                <w:rFonts w:hint="eastAsia" w:ascii="仿宋_GB2312" w:hAnsi="宋体" w:eastAsia="仿宋_GB2312" w:cs="仿宋_GB2312"/>
                <w:color w:val="000000"/>
                <w:kern w:val="0"/>
                <w:sz w:val="24"/>
                <w:szCs w:val="24"/>
              </w:rPr>
              <w:t>水事纠纷调解</w:t>
            </w:r>
          </w:p>
        </w:tc>
        <w:tc>
          <w:tcPr>
            <w:tcW w:w="4196" w:type="dxa"/>
            <w:noWrap w:val="0"/>
            <w:vAlign w:val="center"/>
          </w:tcPr>
          <w:p>
            <w:pPr>
              <w:widowControl/>
              <w:jc w:val="left"/>
              <w:textAlignment w:val="center"/>
              <w:rPr>
                <w:rFonts w:hint="eastAsia"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【法律】　《中华人民共和国水法》</w:t>
            </w:r>
          </w:p>
          <w:p>
            <w:pPr>
              <w:widowControl/>
              <w:spacing w:before="156" w:beforeLines="50"/>
              <w:jc w:val="left"/>
              <w:textAlignment w:val="center"/>
              <w:rPr>
                <w:rFonts w:hint="eastAsia"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　　第五十七条　单位之间、个人之间、单位与个人之间发生的水事纠纷，应当协商解决；当事人不愿协商或者协商不成的，可以申请县级以上地方人民政府或者其授权的部门调解，也可以直接向人民法院提起民事诉讼。县级以上地方人民政府或者其授权的部门调解不成的，当事人可以向人民法院提起民事诉讼。</w:t>
            </w:r>
          </w:p>
          <w:p>
            <w:pPr>
              <w:widowControl/>
              <w:jc w:val="left"/>
              <w:textAlignment w:val="center"/>
              <w:rPr>
                <w:rFonts w:hint="eastAsia"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　　在水事纠纷解决前，当事人不得单方面改变现状。</w:t>
            </w:r>
          </w:p>
        </w:tc>
        <w:tc>
          <w:tcPr>
            <w:tcW w:w="720" w:type="dxa"/>
            <w:noWrap w:val="0"/>
            <w:vAlign w:val="center"/>
          </w:tcPr>
          <w:p>
            <w:pPr>
              <w:widowControl/>
              <w:jc w:val="center"/>
              <w:textAlignment w:val="center"/>
              <w:rPr>
                <w:rFonts w:hint="eastAsia" w:ascii="仿宋_GB2312" w:eastAsia="仿宋_GB2312"/>
                <w:szCs w:val="21"/>
              </w:rPr>
            </w:pPr>
            <w:r>
              <w:rPr>
                <w:rFonts w:hint="eastAsia" w:ascii="仿宋_GB2312" w:hAnsi="宋体" w:eastAsia="仿宋_GB2312" w:cs="仿宋_GB2312"/>
                <w:color w:val="000000"/>
                <w:kern w:val="0"/>
                <w:szCs w:val="21"/>
              </w:rPr>
              <w:t>陵川县水政监察大队</w:t>
            </w:r>
          </w:p>
        </w:tc>
        <w:tc>
          <w:tcPr>
            <w:tcW w:w="2036" w:type="dxa"/>
            <w:noWrap w:val="0"/>
            <w:vAlign w:val="center"/>
          </w:tcPr>
          <w:p>
            <w:pPr>
              <w:widowControl/>
              <w:spacing w:line="280" w:lineRule="exact"/>
              <w:jc w:val="left"/>
              <w:textAlignment w:val="center"/>
              <w:rPr>
                <w:rFonts w:hint="eastAsia" w:ascii="仿宋_GB2312" w:hAnsi="宋体" w:eastAsia="仿宋_GB2312"/>
                <w:szCs w:val="21"/>
              </w:rPr>
            </w:pPr>
            <w:r>
              <w:rPr>
                <w:rFonts w:hint="eastAsia" w:ascii="仿宋_GB2312" w:hAnsi="宋体" w:eastAsia="仿宋_GB2312" w:cs="仿宋_GB2312"/>
                <w:color w:val="000000"/>
                <w:kern w:val="0"/>
                <w:szCs w:val="21"/>
              </w:rPr>
              <w:t>1、受理责任：公示申请条件、法定期限、需要提供的申请书及其他资料（申请人及被申请人的基本本情况，申请裁决的要求和理由，有关证据材料等），一次性告知补正的材料，对符合条件的应当予以受理，不符合条件的，不予受理并通知申请人。</w:t>
            </w:r>
            <w:r>
              <w:rPr>
                <w:rFonts w:hint="eastAsia" w:ascii="仿宋_GB2312" w:hAnsi="宋体" w:eastAsia="仿宋_GB2312" w:cs="仿宋_GB2312"/>
                <w:color w:val="000000"/>
                <w:kern w:val="0"/>
                <w:szCs w:val="21"/>
              </w:rPr>
              <w:br w:type="textWrapping"/>
            </w:r>
            <w:r>
              <w:rPr>
                <w:rFonts w:hint="eastAsia" w:ascii="仿宋_GB2312" w:hAnsi="宋体" w:eastAsia="仿宋_GB2312" w:cs="仿宋_GB2312"/>
                <w:color w:val="000000"/>
                <w:kern w:val="0"/>
                <w:szCs w:val="21"/>
              </w:rPr>
              <w:t>2、审查责任：通知权属争议的申请人及对方当事人，并要求对方当事人在规定的期限内提交答辩书及有关证据材料。水行政主管部门对争议的实施、证据材料进行审查，针对疑问情况或经当事人申请可以组织听证，也派出工作组现场调查了解情况。</w:t>
            </w:r>
            <w:r>
              <w:rPr>
                <w:rFonts w:hint="eastAsia" w:ascii="仿宋_GB2312" w:hAnsi="宋体" w:eastAsia="仿宋_GB2312" w:cs="仿宋_GB2312"/>
                <w:color w:val="000000"/>
                <w:kern w:val="0"/>
                <w:szCs w:val="21"/>
              </w:rPr>
              <w:br w:type="textWrapping"/>
            </w:r>
            <w:r>
              <w:rPr>
                <w:rFonts w:hint="eastAsia" w:ascii="仿宋_GB2312" w:hAnsi="宋体" w:eastAsia="仿宋_GB2312" w:cs="仿宋_GB2312"/>
                <w:color w:val="000000"/>
                <w:kern w:val="0"/>
                <w:szCs w:val="21"/>
              </w:rPr>
              <w:t>3、调解责任：根据事实和法律、法规作出裁决，制作并向当事人送达裁决书。</w:t>
            </w:r>
            <w:r>
              <w:rPr>
                <w:rFonts w:hint="eastAsia" w:ascii="仿宋_GB2312" w:hAnsi="宋体" w:eastAsia="仿宋_GB2312" w:cs="仿宋_GB2312"/>
                <w:color w:val="000000"/>
                <w:kern w:val="0"/>
                <w:szCs w:val="21"/>
              </w:rPr>
              <w:br w:type="textWrapping"/>
            </w:r>
            <w:r>
              <w:rPr>
                <w:rFonts w:hint="eastAsia" w:ascii="仿宋_GB2312" w:hAnsi="宋体" w:eastAsia="仿宋_GB2312" w:cs="仿宋_GB2312"/>
                <w:color w:val="000000"/>
                <w:kern w:val="0"/>
                <w:szCs w:val="21"/>
              </w:rPr>
              <w:t>4、执行责任：水事纠纷裁决生效后，争议各方应当自觉履行，水行政主管部门应当对执行情况进行监督检查，发现的问题应当及时向政府和有关部门通报。</w:t>
            </w:r>
            <w:r>
              <w:rPr>
                <w:rFonts w:hint="eastAsia" w:ascii="仿宋_GB2312" w:hAnsi="宋体" w:eastAsia="仿宋_GB2312" w:cs="仿宋_GB2312"/>
                <w:color w:val="000000"/>
                <w:kern w:val="0"/>
                <w:szCs w:val="21"/>
              </w:rPr>
              <w:br w:type="textWrapping"/>
            </w:r>
            <w:r>
              <w:rPr>
                <w:rFonts w:hint="eastAsia" w:ascii="仿宋_GB2312" w:hAnsi="宋体" w:eastAsia="仿宋_GB2312" w:cs="仿宋_GB2312"/>
                <w:color w:val="000000"/>
                <w:spacing w:val="-8"/>
                <w:kern w:val="0"/>
                <w:szCs w:val="21"/>
              </w:rPr>
              <w:t>5、其他法律法规政策规定应当履行的责任。</w:t>
            </w:r>
          </w:p>
        </w:tc>
        <w:tc>
          <w:tcPr>
            <w:tcW w:w="2340" w:type="dxa"/>
            <w:noWrap w:val="0"/>
            <w:vAlign w:val="center"/>
          </w:tcPr>
          <w:p>
            <w:pPr>
              <w:widowControl/>
              <w:spacing w:line="280" w:lineRule="exact"/>
              <w:jc w:val="left"/>
              <w:textAlignment w:val="center"/>
              <w:rPr>
                <w:rFonts w:hint="eastAsia" w:ascii="仿宋_GB2312" w:hAnsi="宋体" w:eastAsia="仿宋_GB2312"/>
                <w:szCs w:val="21"/>
              </w:rPr>
            </w:pPr>
            <w:r>
              <w:rPr>
                <w:rFonts w:hint="eastAsia" w:ascii="仿宋_GB2312" w:hAnsi="宋体" w:eastAsia="仿宋_GB2312" w:cs="仿宋_GB2312"/>
                <w:color w:val="000000"/>
                <w:kern w:val="0"/>
                <w:szCs w:val="21"/>
              </w:rPr>
              <w:t>《中华人民共和国水法》第五十六条</w:t>
            </w:r>
          </w:p>
        </w:tc>
        <w:tc>
          <w:tcPr>
            <w:tcW w:w="1868" w:type="dxa"/>
            <w:noWrap w:val="0"/>
            <w:vAlign w:val="center"/>
          </w:tcPr>
          <w:p>
            <w:pPr>
              <w:widowControl/>
              <w:spacing w:line="280" w:lineRule="exact"/>
              <w:jc w:val="left"/>
              <w:textAlignment w:val="center"/>
              <w:rPr>
                <w:rFonts w:hint="eastAsia" w:ascii="仿宋_GB2312" w:eastAsia="仿宋_GB2312"/>
                <w:szCs w:val="21"/>
              </w:rPr>
            </w:pPr>
            <w:r>
              <w:rPr>
                <w:rFonts w:hint="eastAsia" w:ascii="仿宋_GB2312" w:hAnsi="宋体" w:eastAsia="仿宋_GB2312" w:cs="仿宋_GB2312"/>
                <w:color w:val="000000"/>
                <w:kern w:val="0"/>
                <w:szCs w:val="21"/>
              </w:rPr>
              <w:t>水行政主管部门或者其他有关部门以及水工程管理单位及其工作人员，利用职务上的便利收取他人财物、其他好处或者玩忽职守，对不符合法定条件的单位或者个人核发许可证、签署审查同意意见，不按照水量分配方案分配水量，不按照国家有关规定收取水资源费，不履行监督职责，或者发现违法行为不予查处，造成严重后果，构成犯罪的，对负有责任的主管人员和其他直接责任人员依照刑法的有关规定追究刑事责任；尚不够刑事处罚的，依法给予行政处分。</w:t>
            </w:r>
          </w:p>
        </w:tc>
        <w:tc>
          <w:tcPr>
            <w:tcW w:w="900" w:type="dxa"/>
            <w:noWrap w:val="0"/>
            <w:vAlign w:val="center"/>
          </w:tcPr>
          <w:p>
            <w:pPr>
              <w:widowControl/>
              <w:jc w:val="left"/>
              <w:textAlignment w:val="center"/>
              <w:rPr>
                <w:rFonts w:hint="eastAsia" w:ascii="仿宋_GB2312" w:hAnsi="宋体" w:eastAsia="仿宋_GB2312"/>
                <w:szCs w:val="21"/>
              </w:rPr>
            </w:pPr>
            <w:r>
              <w:rPr>
                <w:rFonts w:hint="eastAsia" w:ascii="仿宋_GB2312" w:hAnsi="宋体" w:eastAsia="仿宋_GB2312" w:cs="仿宋_GB2312"/>
                <w:color w:val="000000"/>
                <w:kern w:val="0"/>
                <w:szCs w:val="21"/>
              </w:rPr>
              <w:t>【法律】《中华人民共和国水法》第六十三条、六十四条</w:t>
            </w:r>
          </w:p>
        </w:tc>
        <w:tc>
          <w:tcPr>
            <w:tcW w:w="540" w:type="dxa"/>
            <w:noWrap w:val="0"/>
            <w:vAlign w:val="center"/>
          </w:tcPr>
          <w:p>
            <w:pPr>
              <w:jc w:val="center"/>
              <w:rPr>
                <w:rFonts w:hint="eastAsia" w:ascii="仿宋_GB2312" w:hAnsi="仿宋" w:eastAsia="仿宋_GB2312" w:cs="仿宋"/>
                <w:color w:val="000000"/>
                <w:sz w:val="24"/>
                <w:szCs w:val="24"/>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CE5354"/>
    <w:rsid w:val="023D260F"/>
    <w:rsid w:val="03406DE3"/>
    <w:rsid w:val="086120F5"/>
    <w:rsid w:val="206C5714"/>
    <w:rsid w:val="23FA1FE5"/>
    <w:rsid w:val="29CE5354"/>
    <w:rsid w:val="39EF50F3"/>
    <w:rsid w:val="63A06E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nhideWhenUs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2021-09-03T06:48:00Z</dcterms:created>
  <dc:creator>Administrator</dc:creator>
  <cp:lastModifiedBy>摄鬼波波</cp:lastModifiedBy>
  <dcterms:modified xsi:type="dcterms:W3CDTF">2021-10-19T02:07:59Z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3B22C295566F4B229ACA870C1910D95C</vt:lpwstr>
  </property>
</Properties>
</file>