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5144"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70"/>
        <w:gridCol w:w="795"/>
        <w:gridCol w:w="1215"/>
        <w:gridCol w:w="720"/>
        <w:gridCol w:w="3555"/>
        <w:gridCol w:w="2835"/>
        <w:gridCol w:w="2820"/>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事项编码</w:t>
            </w:r>
          </w:p>
        </w:tc>
        <w:tc>
          <w:tcPr>
            <w:tcW w:w="1665" w:type="dxa"/>
            <w:gridSpan w:val="2"/>
            <w:vAlign w:val="center"/>
          </w:tcPr>
          <w:p>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事项名称</w:t>
            </w:r>
          </w:p>
        </w:tc>
        <w:tc>
          <w:tcPr>
            <w:tcW w:w="1215" w:type="dxa"/>
            <w:vMerge w:val="restart"/>
            <w:vAlign w:val="center"/>
          </w:tcPr>
          <w:p>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实施主体</w:t>
            </w:r>
          </w:p>
        </w:tc>
        <w:tc>
          <w:tcPr>
            <w:tcW w:w="720" w:type="dxa"/>
            <w:vMerge w:val="restart"/>
            <w:vAlign w:val="center"/>
          </w:tcPr>
          <w:p>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事项类别</w:t>
            </w:r>
          </w:p>
        </w:tc>
        <w:tc>
          <w:tcPr>
            <w:tcW w:w="3555" w:type="dxa"/>
            <w:vMerge w:val="restart"/>
            <w:vAlign w:val="center"/>
          </w:tcPr>
          <w:p>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事项依据</w:t>
            </w:r>
          </w:p>
        </w:tc>
        <w:tc>
          <w:tcPr>
            <w:tcW w:w="2835" w:type="dxa"/>
            <w:vMerge w:val="restart"/>
            <w:vAlign w:val="center"/>
          </w:tcPr>
          <w:p>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w:t>
            </w:r>
          </w:p>
        </w:tc>
        <w:tc>
          <w:tcPr>
            <w:tcW w:w="2820" w:type="dxa"/>
            <w:vMerge w:val="restart"/>
            <w:vAlign w:val="center"/>
          </w:tcPr>
          <w:p>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责任事项依据</w:t>
            </w:r>
          </w:p>
        </w:tc>
        <w:tc>
          <w:tcPr>
            <w:tcW w:w="1102" w:type="dxa"/>
            <w:vMerge w:val="restart"/>
            <w:vAlign w:val="center"/>
          </w:tcPr>
          <w:p>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pPr>
              <w:spacing w:beforeLines="50" w:afterLines="50"/>
              <w:jc w:val="center"/>
              <w:rPr>
                <w:rFonts w:asciiTheme="minorEastAsia" w:hAnsiTheme="minorEastAsia" w:eastAsiaTheme="minorEastAsia" w:cstheme="minorEastAsia"/>
                <w:b/>
                <w:bCs/>
                <w:sz w:val="24"/>
                <w:szCs w:val="24"/>
              </w:rPr>
            </w:pPr>
          </w:p>
        </w:tc>
        <w:tc>
          <w:tcPr>
            <w:tcW w:w="870" w:type="dxa"/>
            <w:vAlign w:val="center"/>
          </w:tcPr>
          <w:p>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大项</w:t>
            </w:r>
          </w:p>
        </w:tc>
        <w:tc>
          <w:tcPr>
            <w:tcW w:w="795" w:type="dxa"/>
            <w:vAlign w:val="center"/>
          </w:tcPr>
          <w:p>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子项</w:t>
            </w:r>
          </w:p>
        </w:tc>
        <w:tc>
          <w:tcPr>
            <w:tcW w:w="1215" w:type="dxa"/>
            <w:vAlign w:val="center"/>
          </w:tcPr>
          <w:p>
            <w:pPr>
              <w:spacing w:beforeLines="50" w:afterLines="50"/>
              <w:jc w:val="center"/>
              <w:rPr>
                <w:rFonts w:asciiTheme="minorEastAsia" w:hAnsiTheme="minorEastAsia" w:eastAsiaTheme="minorEastAsia" w:cstheme="minorEastAsia"/>
                <w:b/>
                <w:bCs/>
                <w:sz w:val="24"/>
                <w:szCs w:val="24"/>
              </w:rPr>
            </w:pPr>
          </w:p>
        </w:tc>
        <w:tc>
          <w:tcPr>
            <w:tcW w:w="720" w:type="dxa"/>
            <w:vAlign w:val="center"/>
          </w:tcPr>
          <w:p>
            <w:pPr>
              <w:spacing w:beforeLines="50" w:afterLines="50"/>
              <w:jc w:val="center"/>
              <w:rPr>
                <w:rFonts w:asciiTheme="minorEastAsia" w:hAnsiTheme="minorEastAsia" w:eastAsiaTheme="minorEastAsia" w:cstheme="minorEastAsia"/>
                <w:b/>
                <w:bCs/>
                <w:sz w:val="24"/>
                <w:szCs w:val="24"/>
              </w:rPr>
            </w:pPr>
          </w:p>
        </w:tc>
        <w:tc>
          <w:tcPr>
            <w:tcW w:w="3555" w:type="dxa"/>
            <w:vAlign w:val="center"/>
          </w:tcPr>
          <w:p>
            <w:pPr>
              <w:spacing w:beforeLines="50" w:afterLines="50"/>
              <w:jc w:val="center"/>
              <w:rPr>
                <w:rFonts w:asciiTheme="minorEastAsia" w:hAnsiTheme="minorEastAsia" w:eastAsiaTheme="minorEastAsia" w:cstheme="minorEastAsia"/>
                <w:b/>
                <w:bCs/>
                <w:sz w:val="24"/>
                <w:szCs w:val="24"/>
              </w:rPr>
            </w:pPr>
          </w:p>
        </w:tc>
        <w:tc>
          <w:tcPr>
            <w:tcW w:w="2835" w:type="dxa"/>
            <w:vAlign w:val="center"/>
          </w:tcPr>
          <w:p>
            <w:pPr>
              <w:spacing w:beforeLines="50" w:afterLines="50"/>
              <w:jc w:val="center"/>
              <w:rPr>
                <w:rFonts w:asciiTheme="minorEastAsia" w:hAnsiTheme="minorEastAsia" w:eastAsiaTheme="minorEastAsia" w:cstheme="minorEastAsia"/>
                <w:b/>
                <w:bCs/>
                <w:sz w:val="24"/>
                <w:szCs w:val="24"/>
              </w:rPr>
            </w:pPr>
          </w:p>
        </w:tc>
        <w:tc>
          <w:tcPr>
            <w:tcW w:w="2820" w:type="dxa"/>
            <w:vAlign w:val="center"/>
          </w:tcPr>
          <w:p>
            <w:pPr>
              <w:spacing w:beforeLines="50" w:afterLines="50"/>
              <w:jc w:val="center"/>
              <w:rPr>
                <w:rFonts w:asciiTheme="minorEastAsia" w:hAnsiTheme="minorEastAsia" w:eastAsiaTheme="minorEastAsia" w:cstheme="minorEastAsia"/>
                <w:b/>
                <w:bCs/>
                <w:sz w:val="24"/>
                <w:szCs w:val="24"/>
              </w:rPr>
            </w:pPr>
          </w:p>
        </w:tc>
        <w:tc>
          <w:tcPr>
            <w:tcW w:w="1102" w:type="dxa"/>
            <w:vAlign w:val="center"/>
          </w:tcPr>
          <w:p>
            <w:pPr>
              <w:spacing w:beforeLines="50" w:afterLines="50"/>
              <w:jc w:val="center"/>
              <w:rPr>
                <w:rFonts w:asciiTheme="minorEastAsia" w:hAnsiTheme="minorEastAsia" w:eastAsiaTheme="minorEastAsia" w:cs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3" w:hRule="atLeast"/>
        </w:trPr>
        <w:tc>
          <w:tcPr>
            <w:tcW w:w="1232" w:type="dxa"/>
            <w:vAlign w:val="center"/>
          </w:tcPr>
          <w:p>
            <w:pPr>
              <w:spacing w:beforeLines="50" w:afterLines="50"/>
              <w:jc w:val="center"/>
              <w:rPr>
                <w:rFonts w:hint="eastAsia" w:ascii="仿宋" w:hAnsi="仿宋" w:eastAsia="仿宋" w:cs="仿宋"/>
                <w:b/>
                <w:bCs/>
                <w:sz w:val="24"/>
                <w:szCs w:val="24"/>
                <w:lang w:eastAsia="zh-CN"/>
              </w:rPr>
            </w:pPr>
            <w:r>
              <w:rPr>
                <w:rFonts w:hint="eastAsia" w:ascii="仿宋" w:hAnsi="仿宋" w:eastAsia="仿宋" w:cs="仿宋"/>
                <w:sz w:val="18"/>
                <w:szCs w:val="18"/>
                <w:lang w:val="en-US" w:eastAsia="zh-CN"/>
              </w:rPr>
              <w:t>1</w:t>
            </w:r>
          </w:p>
        </w:tc>
        <w:tc>
          <w:tcPr>
            <w:tcW w:w="870" w:type="dxa"/>
            <w:vAlign w:val="center"/>
          </w:tcPr>
          <w:p>
            <w:pPr>
              <w:widowControl/>
              <w:textAlignment w:val="center"/>
              <w:rPr>
                <w:rFonts w:ascii="仿宋" w:hAnsi="仿宋" w:eastAsia="仿宋" w:cs="仿宋"/>
                <w:sz w:val="24"/>
                <w:szCs w:val="24"/>
              </w:rPr>
            </w:pPr>
            <w:r>
              <w:rPr>
                <w:rFonts w:hint="eastAsia" w:ascii="仿宋" w:hAnsi="仿宋" w:eastAsia="仿宋" w:cs="仿宋"/>
                <w:color w:val="000000"/>
                <w:kern w:val="0"/>
                <w:sz w:val="18"/>
                <w:szCs w:val="18"/>
              </w:rPr>
              <w:t>退役士兵自主就业一次性经济补助金给付</w:t>
            </w:r>
          </w:p>
        </w:tc>
        <w:tc>
          <w:tcPr>
            <w:tcW w:w="795" w:type="dxa"/>
            <w:vAlign w:val="center"/>
          </w:tcPr>
          <w:p>
            <w:pPr>
              <w:spacing w:beforeLines="50" w:afterLines="50"/>
              <w:jc w:val="center"/>
              <w:rPr>
                <w:rFonts w:ascii="仿宋" w:hAnsi="仿宋" w:eastAsia="仿宋" w:cs="仿宋"/>
                <w:sz w:val="24"/>
                <w:szCs w:val="24"/>
              </w:rPr>
            </w:pPr>
          </w:p>
        </w:tc>
        <w:tc>
          <w:tcPr>
            <w:tcW w:w="1215" w:type="dxa"/>
            <w:vAlign w:val="center"/>
          </w:tcPr>
          <w:p>
            <w:pPr>
              <w:spacing w:beforeLines="50" w:afterLines="50"/>
              <w:jc w:val="center"/>
              <w:rPr>
                <w:rFonts w:ascii="仿宋" w:hAnsi="仿宋" w:eastAsia="仿宋" w:cs="仿宋"/>
                <w:sz w:val="18"/>
                <w:szCs w:val="18"/>
              </w:rPr>
            </w:pPr>
            <w:r>
              <w:rPr>
                <w:rFonts w:hint="eastAsia" w:ascii="仿宋" w:hAnsi="仿宋" w:eastAsia="仿宋" w:cs="仿宋"/>
                <w:sz w:val="18"/>
                <w:szCs w:val="18"/>
                <w:lang w:eastAsia="zh-CN"/>
              </w:rPr>
              <w:t>陵川县</w:t>
            </w:r>
            <w:r>
              <w:rPr>
                <w:rFonts w:hint="eastAsia" w:ascii="仿宋" w:hAnsi="仿宋" w:eastAsia="仿宋" w:cs="仿宋"/>
                <w:sz w:val="18"/>
                <w:szCs w:val="18"/>
              </w:rPr>
              <w:t>退役军人事务局</w:t>
            </w:r>
          </w:p>
        </w:tc>
        <w:tc>
          <w:tcPr>
            <w:tcW w:w="720" w:type="dxa"/>
            <w:vAlign w:val="center"/>
          </w:tcPr>
          <w:p>
            <w:pPr>
              <w:spacing w:beforeLines="50" w:afterLines="50"/>
              <w:jc w:val="center"/>
              <w:rPr>
                <w:rFonts w:ascii="仿宋" w:hAnsi="仿宋" w:eastAsia="仿宋" w:cs="仿宋"/>
                <w:sz w:val="18"/>
                <w:szCs w:val="18"/>
              </w:rPr>
            </w:pPr>
            <w:r>
              <w:rPr>
                <w:rFonts w:hint="eastAsia" w:ascii="仿宋" w:hAnsi="仿宋" w:eastAsia="仿宋" w:cs="仿宋"/>
                <w:sz w:val="18"/>
                <w:szCs w:val="18"/>
              </w:rPr>
              <w:t>行政给付</w:t>
            </w:r>
          </w:p>
        </w:tc>
        <w:tc>
          <w:tcPr>
            <w:tcW w:w="3555" w:type="dxa"/>
            <w:vAlign w:val="center"/>
          </w:tcPr>
          <w:p>
            <w:pPr>
              <w:widowControl/>
              <w:spacing w:line="0" w:lineRule="atLeast"/>
              <w:textAlignment w:val="center"/>
              <w:rPr>
                <w:rFonts w:ascii="仿宋" w:hAnsi="仿宋" w:eastAsia="仿宋" w:cs="仿宋"/>
                <w:sz w:val="18"/>
                <w:szCs w:val="18"/>
              </w:rPr>
            </w:pPr>
            <w:r>
              <w:rPr>
                <w:rFonts w:hint="eastAsia" w:ascii="仿宋" w:hAnsi="仿宋" w:eastAsia="仿宋" w:cs="仿宋"/>
                <w:color w:val="000000"/>
                <w:kern w:val="0"/>
                <w:sz w:val="18"/>
                <w:szCs w:val="18"/>
              </w:rPr>
              <w:t>【法规】《退役士兵安置条例》（中华人民共和国国务院、中华人民共和国中央军事委员会令第608号）第十九条：对自主就业的退役士兵，由部队发给一次性退役金，一次性退役金由中央财政专项安排;地方人民政府可以根据当地实际情况给予经济补助，经济补助标准及发放办法由省、自治区、直辖市人民政府规定。</w:t>
            </w:r>
          </w:p>
        </w:tc>
        <w:tc>
          <w:tcPr>
            <w:tcW w:w="2835" w:type="dxa"/>
            <w:vAlign w:val="center"/>
          </w:tcPr>
          <w:p>
            <w:pPr>
              <w:widowControl/>
              <w:spacing w:line="0" w:lineRule="atLeast"/>
              <w:jc w:val="left"/>
              <w:textAlignment w:val="center"/>
              <w:rPr>
                <w:rFonts w:ascii="仿宋" w:hAnsi="仿宋" w:eastAsia="仿宋" w:cs="仿宋"/>
                <w:b/>
                <w:bCs/>
                <w:sz w:val="18"/>
                <w:szCs w:val="18"/>
              </w:rPr>
            </w:pPr>
            <w:r>
              <w:rPr>
                <w:rFonts w:hint="eastAsia" w:ascii="仿宋" w:hAnsi="仿宋" w:eastAsia="仿宋" w:cs="仿宋"/>
                <w:color w:val="000000"/>
                <w:kern w:val="0"/>
                <w:sz w:val="18"/>
                <w:szCs w:val="18"/>
              </w:rPr>
              <w:t>1、受理责任：接收部队邮寄回的退役士兵档案。    2、审查责任：查阅本人档案，确定服役年限，核算自主就业一次性补助金。    3、决定责任：符合办理条件的，做出审批决定，按分担比例报财政列入财政预算。不符合条件的，告知理由。</w:t>
            </w:r>
            <w:r>
              <w:rPr>
                <w:rFonts w:hint="eastAsia" w:ascii="仿宋" w:hAnsi="仿宋" w:eastAsia="仿宋" w:cs="仿宋"/>
                <w:color w:val="000000"/>
                <w:kern w:val="0"/>
                <w:sz w:val="18"/>
                <w:szCs w:val="18"/>
                <w:lang w:val="en-US" w:eastAsia="zh-CN"/>
              </w:rPr>
              <w:t xml:space="preserve">   </w:t>
            </w:r>
            <w:r>
              <w:rPr>
                <w:rFonts w:hint="eastAsia" w:ascii="仿宋" w:hAnsi="仿宋" w:eastAsia="仿宋" w:cs="仿宋"/>
                <w:color w:val="000000"/>
                <w:kern w:val="0"/>
                <w:sz w:val="18"/>
                <w:szCs w:val="18"/>
              </w:rPr>
              <w:t>4、给付责任：将符合办理一次性退役金的名单及补助金额，按时送交财务股。由财务股发至个人账户。                     5、监管责任：开展定期不定期检查，看资金是否发放到位。               6、其他：法律法规规章文件规定应履行的责任。</w:t>
            </w:r>
          </w:p>
        </w:tc>
        <w:tc>
          <w:tcPr>
            <w:tcW w:w="2820" w:type="dxa"/>
            <w:vAlign w:val="center"/>
          </w:tcPr>
          <w:p>
            <w:pPr>
              <w:widowControl/>
              <w:spacing w:line="0" w:lineRule="atLeast"/>
              <w:jc w:val="left"/>
              <w:textAlignment w:val="center"/>
              <w:rPr>
                <w:rFonts w:ascii="仿宋" w:hAnsi="仿宋" w:eastAsia="仿宋" w:cs="仿宋"/>
                <w:b/>
                <w:bCs/>
                <w:sz w:val="18"/>
                <w:szCs w:val="18"/>
              </w:rPr>
            </w:pPr>
            <w:r>
              <w:rPr>
                <w:rFonts w:hint="eastAsia" w:ascii="仿宋" w:hAnsi="仿宋" w:eastAsia="仿宋" w:cs="仿宋"/>
                <w:color w:val="000000"/>
                <w:kern w:val="0"/>
                <w:sz w:val="18"/>
                <w:szCs w:val="18"/>
              </w:rPr>
              <w:t>【法律】《中华人民共和国兵役法》第十章第六十条：“义务兵退出现役，按照国家规定发给退役金，由安置地的县级以上地方人民政府接收，根据当地的实际情况，可以发给经济补助。”  【法规】《退役士兵安置条例》（国务院、中央军委令第608号）第三章第一节第十八条：“义务兵和服现役不满12年的士官退出现役的，由人民政府扶持自主就业。”第十九条：“对自主就业的退役士兵，由部队发给一次性退役金，一次性退役金由中央财政专项安排；地方人民政府可以根据当地实际情况给予经济补助，经济补助标准及发放办法由省、自治区、直辖市人民政府规定。”第二十条：“国家根据国民经济发展水平、全国职工年平均工资收入和军人职业特殊性等因素确定退役金标准，并适时调整。”第二节第二十九条：“符合安排工作条件的退役士兵，退役时自愿选择自主就业的，依照本条例第三章第一节的规定办理（即可按当地标准享受经济补助）。”</w:t>
            </w:r>
          </w:p>
        </w:tc>
        <w:tc>
          <w:tcPr>
            <w:tcW w:w="1102" w:type="dxa"/>
            <w:vAlign w:val="center"/>
          </w:tcPr>
          <w:p>
            <w:pPr>
              <w:spacing w:beforeLines="50" w:afterLines="50"/>
              <w:jc w:val="center"/>
              <w:rPr>
                <w:rFonts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事项编码</w:t>
            </w:r>
          </w:p>
        </w:tc>
        <w:tc>
          <w:tcPr>
            <w:tcW w:w="1665" w:type="dxa"/>
            <w:gridSpan w:val="2"/>
            <w:vAlign w:val="center"/>
          </w:tcPr>
          <w:p>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事项名称</w:t>
            </w:r>
          </w:p>
        </w:tc>
        <w:tc>
          <w:tcPr>
            <w:tcW w:w="1215" w:type="dxa"/>
            <w:vMerge w:val="restart"/>
            <w:vAlign w:val="center"/>
          </w:tcPr>
          <w:p>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实施主体</w:t>
            </w:r>
          </w:p>
        </w:tc>
        <w:tc>
          <w:tcPr>
            <w:tcW w:w="720" w:type="dxa"/>
            <w:vMerge w:val="restart"/>
            <w:vAlign w:val="center"/>
          </w:tcPr>
          <w:p>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事项类别</w:t>
            </w:r>
          </w:p>
        </w:tc>
        <w:tc>
          <w:tcPr>
            <w:tcW w:w="3555" w:type="dxa"/>
            <w:vMerge w:val="restart"/>
            <w:vAlign w:val="center"/>
          </w:tcPr>
          <w:p>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事项依据</w:t>
            </w:r>
          </w:p>
        </w:tc>
        <w:tc>
          <w:tcPr>
            <w:tcW w:w="2835" w:type="dxa"/>
            <w:vMerge w:val="restart"/>
            <w:vAlign w:val="center"/>
          </w:tcPr>
          <w:p>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w:t>
            </w:r>
          </w:p>
        </w:tc>
        <w:tc>
          <w:tcPr>
            <w:tcW w:w="2820" w:type="dxa"/>
            <w:vMerge w:val="restart"/>
            <w:vAlign w:val="center"/>
          </w:tcPr>
          <w:p>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责任事项依据</w:t>
            </w:r>
          </w:p>
        </w:tc>
        <w:tc>
          <w:tcPr>
            <w:tcW w:w="1102" w:type="dxa"/>
            <w:vMerge w:val="restart"/>
            <w:vAlign w:val="center"/>
          </w:tcPr>
          <w:p>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pPr>
              <w:spacing w:beforeLines="50" w:afterLines="50"/>
              <w:jc w:val="center"/>
              <w:rPr>
                <w:rFonts w:asciiTheme="minorEastAsia" w:hAnsiTheme="minorEastAsia" w:eastAsiaTheme="minorEastAsia" w:cstheme="minorEastAsia"/>
                <w:b/>
                <w:bCs/>
                <w:sz w:val="24"/>
                <w:szCs w:val="24"/>
              </w:rPr>
            </w:pPr>
          </w:p>
        </w:tc>
        <w:tc>
          <w:tcPr>
            <w:tcW w:w="870" w:type="dxa"/>
            <w:vAlign w:val="center"/>
          </w:tcPr>
          <w:p>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大项</w:t>
            </w:r>
          </w:p>
        </w:tc>
        <w:tc>
          <w:tcPr>
            <w:tcW w:w="795" w:type="dxa"/>
            <w:vAlign w:val="center"/>
          </w:tcPr>
          <w:p>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子项</w:t>
            </w:r>
          </w:p>
        </w:tc>
        <w:tc>
          <w:tcPr>
            <w:tcW w:w="1215" w:type="dxa"/>
            <w:vAlign w:val="center"/>
          </w:tcPr>
          <w:p>
            <w:pPr>
              <w:spacing w:beforeLines="50" w:afterLines="50"/>
              <w:jc w:val="center"/>
              <w:rPr>
                <w:rFonts w:asciiTheme="minorEastAsia" w:hAnsiTheme="minorEastAsia" w:eastAsiaTheme="minorEastAsia" w:cstheme="minorEastAsia"/>
                <w:b/>
                <w:bCs/>
                <w:sz w:val="24"/>
                <w:szCs w:val="24"/>
              </w:rPr>
            </w:pPr>
          </w:p>
        </w:tc>
        <w:tc>
          <w:tcPr>
            <w:tcW w:w="720" w:type="dxa"/>
            <w:vAlign w:val="center"/>
          </w:tcPr>
          <w:p>
            <w:pPr>
              <w:spacing w:beforeLines="50" w:afterLines="50"/>
              <w:jc w:val="center"/>
              <w:rPr>
                <w:rFonts w:asciiTheme="minorEastAsia" w:hAnsiTheme="minorEastAsia" w:eastAsiaTheme="minorEastAsia" w:cstheme="minorEastAsia"/>
                <w:b/>
                <w:bCs/>
                <w:sz w:val="24"/>
                <w:szCs w:val="24"/>
              </w:rPr>
            </w:pPr>
          </w:p>
        </w:tc>
        <w:tc>
          <w:tcPr>
            <w:tcW w:w="3555" w:type="dxa"/>
            <w:vAlign w:val="center"/>
          </w:tcPr>
          <w:p>
            <w:pPr>
              <w:spacing w:beforeLines="50" w:afterLines="50"/>
              <w:jc w:val="center"/>
              <w:rPr>
                <w:rFonts w:asciiTheme="minorEastAsia" w:hAnsiTheme="minorEastAsia" w:eastAsiaTheme="minorEastAsia" w:cstheme="minorEastAsia"/>
                <w:b/>
                <w:bCs/>
                <w:sz w:val="24"/>
                <w:szCs w:val="24"/>
              </w:rPr>
            </w:pPr>
          </w:p>
        </w:tc>
        <w:tc>
          <w:tcPr>
            <w:tcW w:w="2835" w:type="dxa"/>
            <w:vAlign w:val="center"/>
          </w:tcPr>
          <w:p>
            <w:pPr>
              <w:spacing w:beforeLines="50" w:afterLines="50"/>
              <w:jc w:val="center"/>
              <w:rPr>
                <w:rFonts w:asciiTheme="minorEastAsia" w:hAnsiTheme="minorEastAsia" w:eastAsiaTheme="minorEastAsia" w:cstheme="minorEastAsia"/>
                <w:b/>
                <w:bCs/>
                <w:sz w:val="24"/>
                <w:szCs w:val="24"/>
              </w:rPr>
            </w:pPr>
          </w:p>
        </w:tc>
        <w:tc>
          <w:tcPr>
            <w:tcW w:w="2820" w:type="dxa"/>
            <w:vAlign w:val="center"/>
          </w:tcPr>
          <w:p>
            <w:pPr>
              <w:widowControl/>
              <w:spacing w:line="200" w:lineRule="exact"/>
              <w:jc w:val="left"/>
              <w:textAlignment w:val="center"/>
              <w:rPr>
                <w:rFonts w:hint="eastAsia" w:ascii="仿宋" w:hAnsi="仿宋" w:eastAsia="仿宋" w:cs="仿宋"/>
                <w:color w:val="000000"/>
                <w:kern w:val="0"/>
                <w:sz w:val="18"/>
                <w:szCs w:val="18"/>
              </w:rPr>
            </w:pPr>
          </w:p>
        </w:tc>
        <w:tc>
          <w:tcPr>
            <w:tcW w:w="1102" w:type="dxa"/>
            <w:vAlign w:val="center"/>
          </w:tcPr>
          <w:p>
            <w:pPr>
              <w:spacing w:beforeLines="50" w:afterLines="50"/>
              <w:jc w:val="center"/>
              <w:rPr>
                <w:rFonts w:asciiTheme="minorEastAsia" w:hAnsiTheme="minorEastAsia" w:eastAsiaTheme="minorEastAsia" w:cs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3" w:hRule="atLeast"/>
        </w:trPr>
        <w:tc>
          <w:tcPr>
            <w:tcW w:w="1232" w:type="dxa"/>
            <w:vAlign w:val="center"/>
          </w:tcPr>
          <w:p>
            <w:pPr>
              <w:spacing w:beforeLines="50" w:afterLines="50"/>
              <w:jc w:val="center"/>
              <w:rPr>
                <w:rFonts w:hint="eastAsia" w:ascii="仿宋" w:hAnsi="仿宋" w:eastAsia="仿宋" w:cs="仿宋"/>
                <w:b/>
                <w:bCs/>
                <w:sz w:val="18"/>
                <w:szCs w:val="18"/>
                <w:lang w:eastAsia="zh-CN"/>
              </w:rPr>
            </w:pPr>
            <w:r>
              <w:rPr>
                <w:rFonts w:hint="eastAsia" w:ascii="仿宋" w:hAnsi="仿宋" w:eastAsia="仿宋" w:cs="仿宋"/>
                <w:sz w:val="18"/>
                <w:szCs w:val="18"/>
                <w:lang w:val="en-US" w:eastAsia="zh-CN"/>
              </w:rPr>
              <w:t>2</w:t>
            </w:r>
          </w:p>
        </w:tc>
        <w:tc>
          <w:tcPr>
            <w:tcW w:w="870" w:type="dxa"/>
            <w:vAlign w:val="center"/>
          </w:tcPr>
          <w:p>
            <w:pPr>
              <w:widowControl/>
              <w:jc w:val="center"/>
              <w:textAlignment w:val="center"/>
              <w:rPr>
                <w:rFonts w:ascii="仿宋" w:hAnsi="仿宋" w:eastAsia="仿宋" w:cs="仿宋"/>
                <w:sz w:val="18"/>
                <w:szCs w:val="18"/>
              </w:rPr>
            </w:pPr>
            <w:r>
              <w:rPr>
                <w:rFonts w:hint="eastAsia" w:ascii="仿宋" w:hAnsi="仿宋" w:eastAsia="仿宋" w:cs="仿宋"/>
                <w:color w:val="000000"/>
                <w:kern w:val="0"/>
                <w:sz w:val="18"/>
                <w:szCs w:val="18"/>
              </w:rPr>
              <w:t>退役士兵待安排工作期间生活费的给付</w:t>
            </w:r>
          </w:p>
        </w:tc>
        <w:tc>
          <w:tcPr>
            <w:tcW w:w="795" w:type="dxa"/>
            <w:vAlign w:val="center"/>
          </w:tcPr>
          <w:p>
            <w:pPr>
              <w:spacing w:beforeLines="50" w:afterLines="50"/>
              <w:jc w:val="center"/>
              <w:rPr>
                <w:rFonts w:ascii="仿宋" w:hAnsi="仿宋" w:eastAsia="仿宋" w:cs="仿宋"/>
                <w:sz w:val="18"/>
                <w:szCs w:val="18"/>
              </w:rPr>
            </w:pPr>
          </w:p>
        </w:tc>
        <w:tc>
          <w:tcPr>
            <w:tcW w:w="1215" w:type="dxa"/>
            <w:vAlign w:val="center"/>
          </w:tcPr>
          <w:p>
            <w:pPr>
              <w:spacing w:beforeLines="50" w:afterLines="50"/>
              <w:jc w:val="center"/>
              <w:rPr>
                <w:rFonts w:ascii="仿宋" w:hAnsi="仿宋" w:eastAsia="仿宋" w:cs="仿宋"/>
                <w:sz w:val="18"/>
                <w:szCs w:val="18"/>
              </w:rPr>
            </w:pPr>
            <w:r>
              <w:rPr>
                <w:rFonts w:hint="eastAsia" w:ascii="仿宋" w:hAnsi="仿宋" w:eastAsia="仿宋" w:cs="仿宋"/>
                <w:sz w:val="18"/>
                <w:szCs w:val="18"/>
                <w:lang w:eastAsia="zh-CN"/>
              </w:rPr>
              <w:t>陵川县</w:t>
            </w:r>
            <w:r>
              <w:rPr>
                <w:rFonts w:hint="eastAsia" w:ascii="仿宋" w:hAnsi="仿宋" w:eastAsia="仿宋" w:cs="仿宋"/>
                <w:sz w:val="18"/>
                <w:szCs w:val="18"/>
              </w:rPr>
              <w:t>退役军人事务局</w:t>
            </w:r>
          </w:p>
        </w:tc>
        <w:tc>
          <w:tcPr>
            <w:tcW w:w="720" w:type="dxa"/>
            <w:vAlign w:val="center"/>
          </w:tcPr>
          <w:p>
            <w:pPr>
              <w:spacing w:beforeLines="50" w:afterLines="50"/>
              <w:jc w:val="center"/>
              <w:rPr>
                <w:rFonts w:ascii="仿宋" w:hAnsi="仿宋" w:eastAsia="仿宋" w:cs="仿宋"/>
                <w:sz w:val="18"/>
                <w:szCs w:val="18"/>
              </w:rPr>
            </w:pPr>
            <w:r>
              <w:rPr>
                <w:rFonts w:hint="eastAsia" w:ascii="仿宋" w:hAnsi="仿宋" w:eastAsia="仿宋" w:cs="仿宋"/>
                <w:sz w:val="18"/>
                <w:szCs w:val="18"/>
              </w:rPr>
              <w:t>行政给付</w:t>
            </w:r>
          </w:p>
        </w:tc>
        <w:tc>
          <w:tcPr>
            <w:tcW w:w="3555" w:type="dxa"/>
            <w:vAlign w:val="center"/>
          </w:tcPr>
          <w:p>
            <w:pPr>
              <w:widowControl/>
              <w:spacing w:line="200" w:lineRule="exact"/>
              <w:jc w:val="left"/>
              <w:textAlignment w:val="center"/>
              <w:rPr>
                <w:rFonts w:ascii="仿宋" w:hAnsi="仿宋" w:eastAsia="仿宋" w:cs="仿宋"/>
                <w:sz w:val="24"/>
                <w:szCs w:val="24"/>
              </w:rPr>
            </w:pPr>
            <w:r>
              <w:rPr>
                <w:rFonts w:hint="eastAsia" w:ascii="仿宋" w:hAnsi="仿宋" w:eastAsia="仿宋" w:cs="仿宋"/>
                <w:color w:val="000000"/>
                <w:kern w:val="0"/>
                <w:sz w:val="18"/>
                <w:szCs w:val="18"/>
              </w:rPr>
              <w:t>【法律】《中华人民共和国兵役法》</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第十章第六十条服现役期间平时荣获二等功以上奖励或者战时荣获三等功以上奖励以及属于烈士子女和因战致残被评定为五级至八级残疾等级的义务兵退出现役，由安置地的县级以上地方人民政府安排工作；待安排工作期间由当地人民政府按照国家有关规定发给生活补助费。第六十一条士官退出现役，服现役不满十二年的，依照本法第六十条规定的办法安置。士官退出现役，服现役满十二年的，由安置地的县级以上地方人民政府安排工作；待安排工作期间由当地人民政府按照国家有关规定发给生活补助费。</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【法规】《退役士兵安置条例》（国务院、中央军委令第608号）</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第三十五条退役士兵待安排工作期间，安置地人民政府应当按照不低于当地最低生活水平的标准，按月发给生活补助费。</w:t>
            </w:r>
          </w:p>
        </w:tc>
        <w:tc>
          <w:tcPr>
            <w:tcW w:w="2835" w:type="dxa"/>
            <w:vAlign w:val="center"/>
          </w:tcPr>
          <w:p>
            <w:pPr>
              <w:widowControl/>
              <w:numPr>
                <w:ilvl w:val="0"/>
                <w:numId w:val="1"/>
              </w:numPr>
              <w:spacing w:line="0" w:lineRule="atLeast"/>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受理责任：对申请人提交材料进行审查，材料齐备的，予以受理；申请材料不齐全或者不符合申请办理程序的,应告知申请人补齐资料或申请办理的相关程序。               2、审查责任：对申请人提交的材料内容进行真实性审查。依法需要对申请材料的实质内容进行核实调查。                           3、决定责任：符合办理条件的，做出审批决定，及时予以办理。不符合条件的，告知理由。             4、给付责任：审批通过的人员名单、生活费发放时间及标准申请送交财务股。由财务股发至个人账户。</w:t>
            </w:r>
          </w:p>
          <w:p>
            <w:pPr>
              <w:widowControl/>
              <w:spacing w:line="0" w:lineRule="atLeast"/>
              <w:jc w:val="left"/>
              <w:textAlignment w:val="center"/>
              <w:rPr>
                <w:rFonts w:ascii="仿宋" w:hAnsi="仿宋" w:eastAsia="仿宋" w:cs="仿宋"/>
                <w:b/>
                <w:bCs/>
                <w:sz w:val="24"/>
                <w:szCs w:val="24"/>
              </w:rPr>
            </w:pPr>
            <w:r>
              <w:rPr>
                <w:rFonts w:hint="eastAsia" w:ascii="仿宋" w:hAnsi="仿宋" w:eastAsia="仿宋" w:cs="仿宋"/>
                <w:color w:val="000000"/>
                <w:kern w:val="0"/>
                <w:sz w:val="18"/>
                <w:szCs w:val="18"/>
              </w:rPr>
              <w:t>5、监管责任：开展定期不定期检查，看资金是否发放到位。               6、其他法律法规规章文件规定应履行的责任</w:t>
            </w:r>
          </w:p>
        </w:tc>
        <w:tc>
          <w:tcPr>
            <w:tcW w:w="2820" w:type="dxa"/>
            <w:vAlign w:val="center"/>
          </w:tcPr>
          <w:p>
            <w:pPr>
              <w:widowControl/>
              <w:spacing w:line="200" w:lineRule="exact"/>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法律】《中华人民共和国兵役法》第十章第六十条：“服现役期间平时荣获二等功以上奖励或者战时荣获三等功以上奖励以及属于烈士子女和因战致残被评定为五级至八级残疾等级的义务兵退出现役，由安置地的县级以上地方人民政府安排工作；待安排工作期间由当地人民政府按照国家有关规定发给生活补助费。”第六十一条：“士官退出现役，服现役不满十二年的，依照本法第六十条规定的办法安置。士官退出现役，服现役满十二年的，由安置地的县级以上地方人民政府安排工作；待安排工作期间由当地人民政府按照国家有关规定发给生活补助费。”                                                                                    【法规】《退役士兵安置条例》（国务院、中央军委令第608号）第三十五条：“退役士兵待安排工作期间，安置地人民政府应当按照不低于当地最低生活水平的标准，按月发给生活补助费。”</w:t>
            </w:r>
          </w:p>
        </w:tc>
        <w:tc>
          <w:tcPr>
            <w:tcW w:w="1102" w:type="dxa"/>
            <w:vAlign w:val="center"/>
          </w:tcPr>
          <w:p>
            <w:pPr>
              <w:spacing w:beforeLines="50" w:afterLines="50"/>
              <w:jc w:val="center"/>
              <w:rPr>
                <w:rFonts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事项编码</w:t>
            </w:r>
          </w:p>
        </w:tc>
        <w:tc>
          <w:tcPr>
            <w:tcW w:w="1665" w:type="dxa"/>
            <w:gridSpan w:val="2"/>
            <w:vAlign w:val="center"/>
          </w:tcPr>
          <w:p>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事项名称</w:t>
            </w:r>
          </w:p>
        </w:tc>
        <w:tc>
          <w:tcPr>
            <w:tcW w:w="1215" w:type="dxa"/>
            <w:vMerge w:val="restart"/>
            <w:vAlign w:val="center"/>
          </w:tcPr>
          <w:p>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实施主体</w:t>
            </w:r>
          </w:p>
        </w:tc>
        <w:tc>
          <w:tcPr>
            <w:tcW w:w="720" w:type="dxa"/>
            <w:vMerge w:val="restart"/>
            <w:vAlign w:val="center"/>
          </w:tcPr>
          <w:p>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事项类别</w:t>
            </w:r>
          </w:p>
        </w:tc>
        <w:tc>
          <w:tcPr>
            <w:tcW w:w="3555" w:type="dxa"/>
            <w:vMerge w:val="restart"/>
            <w:vAlign w:val="center"/>
          </w:tcPr>
          <w:p>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事项依据</w:t>
            </w:r>
          </w:p>
        </w:tc>
        <w:tc>
          <w:tcPr>
            <w:tcW w:w="2835" w:type="dxa"/>
            <w:vMerge w:val="restart"/>
            <w:vAlign w:val="center"/>
          </w:tcPr>
          <w:p>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w:t>
            </w:r>
          </w:p>
        </w:tc>
        <w:tc>
          <w:tcPr>
            <w:tcW w:w="2820" w:type="dxa"/>
            <w:vMerge w:val="restart"/>
            <w:vAlign w:val="center"/>
          </w:tcPr>
          <w:p>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责任事项依据</w:t>
            </w:r>
          </w:p>
        </w:tc>
        <w:tc>
          <w:tcPr>
            <w:tcW w:w="1102" w:type="dxa"/>
            <w:vMerge w:val="restart"/>
            <w:vAlign w:val="center"/>
          </w:tcPr>
          <w:p>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pPr>
              <w:spacing w:beforeLines="50" w:afterLines="50"/>
              <w:jc w:val="center"/>
              <w:rPr>
                <w:rFonts w:asciiTheme="minorEastAsia" w:hAnsiTheme="minorEastAsia" w:eastAsiaTheme="minorEastAsia" w:cstheme="minorEastAsia"/>
                <w:b/>
                <w:bCs/>
                <w:sz w:val="24"/>
                <w:szCs w:val="24"/>
              </w:rPr>
            </w:pPr>
          </w:p>
        </w:tc>
        <w:tc>
          <w:tcPr>
            <w:tcW w:w="870" w:type="dxa"/>
            <w:vAlign w:val="center"/>
          </w:tcPr>
          <w:p>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大项</w:t>
            </w:r>
          </w:p>
        </w:tc>
        <w:tc>
          <w:tcPr>
            <w:tcW w:w="795" w:type="dxa"/>
            <w:vAlign w:val="center"/>
          </w:tcPr>
          <w:p>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子项</w:t>
            </w:r>
          </w:p>
        </w:tc>
        <w:tc>
          <w:tcPr>
            <w:tcW w:w="1215" w:type="dxa"/>
            <w:vAlign w:val="center"/>
          </w:tcPr>
          <w:p>
            <w:pPr>
              <w:spacing w:beforeLines="50" w:afterLines="50"/>
              <w:jc w:val="center"/>
              <w:rPr>
                <w:rFonts w:asciiTheme="minorEastAsia" w:hAnsiTheme="minorEastAsia" w:eastAsiaTheme="minorEastAsia" w:cstheme="minorEastAsia"/>
                <w:b/>
                <w:bCs/>
                <w:sz w:val="24"/>
                <w:szCs w:val="24"/>
              </w:rPr>
            </w:pPr>
          </w:p>
        </w:tc>
        <w:tc>
          <w:tcPr>
            <w:tcW w:w="720" w:type="dxa"/>
            <w:vAlign w:val="center"/>
          </w:tcPr>
          <w:p>
            <w:pPr>
              <w:spacing w:beforeLines="50" w:afterLines="50"/>
              <w:jc w:val="center"/>
              <w:rPr>
                <w:rFonts w:asciiTheme="minorEastAsia" w:hAnsiTheme="minorEastAsia" w:eastAsiaTheme="minorEastAsia" w:cstheme="minorEastAsia"/>
                <w:b/>
                <w:bCs/>
                <w:sz w:val="24"/>
                <w:szCs w:val="24"/>
              </w:rPr>
            </w:pPr>
          </w:p>
        </w:tc>
        <w:tc>
          <w:tcPr>
            <w:tcW w:w="3555" w:type="dxa"/>
            <w:vAlign w:val="center"/>
          </w:tcPr>
          <w:p>
            <w:pPr>
              <w:spacing w:beforeLines="50" w:afterLines="50"/>
              <w:jc w:val="center"/>
              <w:rPr>
                <w:rFonts w:asciiTheme="minorEastAsia" w:hAnsiTheme="minorEastAsia" w:eastAsiaTheme="minorEastAsia" w:cstheme="minorEastAsia"/>
                <w:b/>
                <w:bCs/>
                <w:sz w:val="24"/>
                <w:szCs w:val="24"/>
              </w:rPr>
            </w:pPr>
          </w:p>
        </w:tc>
        <w:tc>
          <w:tcPr>
            <w:tcW w:w="2835" w:type="dxa"/>
            <w:vAlign w:val="center"/>
          </w:tcPr>
          <w:p>
            <w:pPr>
              <w:spacing w:beforeLines="50" w:afterLines="50"/>
              <w:jc w:val="center"/>
              <w:rPr>
                <w:rFonts w:asciiTheme="minorEastAsia" w:hAnsiTheme="minorEastAsia" w:eastAsiaTheme="minorEastAsia" w:cstheme="minorEastAsia"/>
                <w:b/>
                <w:bCs/>
                <w:sz w:val="24"/>
                <w:szCs w:val="24"/>
              </w:rPr>
            </w:pPr>
          </w:p>
        </w:tc>
        <w:tc>
          <w:tcPr>
            <w:tcW w:w="2820" w:type="dxa"/>
            <w:vAlign w:val="center"/>
          </w:tcPr>
          <w:p>
            <w:pPr>
              <w:spacing w:beforeLines="50" w:afterLines="50"/>
              <w:jc w:val="center"/>
              <w:rPr>
                <w:rFonts w:asciiTheme="minorEastAsia" w:hAnsiTheme="minorEastAsia" w:eastAsiaTheme="minorEastAsia" w:cstheme="minorEastAsia"/>
                <w:b/>
                <w:bCs/>
                <w:sz w:val="24"/>
                <w:szCs w:val="24"/>
              </w:rPr>
            </w:pPr>
          </w:p>
        </w:tc>
        <w:tc>
          <w:tcPr>
            <w:tcW w:w="1102" w:type="dxa"/>
            <w:vAlign w:val="center"/>
          </w:tcPr>
          <w:p>
            <w:pPr>
              <w:spacing w:beforeLines="50" w:afterLines="50"/>
              <w:jc w:val="center"/>
              <w:rPr>
                <w:rFonts w:asciiTheme="minorEastAsia" w:hAnsiTheme="minorEastAsia" w:eastAsiaTheme="minorEastAsia" w:cs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3" w:hRule="atLeast"/>
        </w:trPr>
        <w:tc>
          <w:tcPr>
            <w:tcW w:w="1232" w:type="dxa"/>
            <w:vAlign w:val="center"/>
          </w:tcPr>
          <w:p>
            <w:pPr>
              <w:spacing w:beforeLines="50" w:afterLines="50"/>
              <w:jc w:val="center"/>
              <w:rPr>
                <w:rFonts w:hint="eastAsia" w:ascii="仿宋" w:hAnsi="仿宋" w:eastAsia="仿宋" w:cs="仿宋"/>
                <w:b/>
                <w:bCs/>
                <w:sz w:val="24"/>
                <w:szCs w:val="24"/>
                <w:lang w:eastAsia="zh-CN"/>
              </w:rPr>
            </w:pPr>
            <w:r>
              <w:rPr>
                <w:rFonts w:hint="eastAsia" w:ascii="仿宋" w:hAnsi="仿宋" w:eastAsia="仿宋" w:cs="仿宋"/>
                <w:sz w:val="18"/>
                <w:szCs w:val="18"/>
                <w:lang w:val="en-US" w:eastAsia="zh-CN"/>
              </w:rPr>
              <w:t>3</w:t>
            </w:r>
          </w:p>
        </w:tc>
        <w:tc>
          <w:tcPr>
            <w:tcW w:w="870" w:type="dxa"/>
            <w:vAlign w:val="center"/>
          </w:tcPr>
          <w:p>
            <w:pPr>
              <w:widowControl/>
              <w:jc w:val="center"/>
              <w:textAlignment w:val="center"/>
              <w:rPr>
                <w:rFonts w:ascii="仿宋" w:hAnsi="仿宋" w:eastAsia="仿宋" w:cs="仿宋"/>
                <w:sz w:val="18"/>
                <w:szCs w:val="18"/>
              </w:rPr>
            </w:pPr>
            <w:r>
              <w:rPr>
                <w:rFonts w:hint="eastAsia" w:ascii="仿宋" w:hAnsi="仿宋" w:eastAsia="仿宋" w:cs="仿宋"/>
                <w:color w:val="000000"/>
                <w:kern w:val="0"/>
                <w:sz w:val="18"/>
                <w:szCs w:val="18"/>
              </w:rPr>
              <w:t>部分农村籍退役士兵老年生活补助的发放</w:t>
            </w:r>
          </w:p>
        </w:tc>
        <w:tc>
          <w:tcPr>
            <w:tcW w:w="795" w:type="dxa"/>
            <w:vAlign w:val="center"/>
          </w:tcPr>
          <w:p>
            <w:pPr>
              <w:spacing w:beforeLines="50" w:afterLines="50"/>
              <w:jc w:val="center"/>
              <w:rPr>
                <w:rFonts w:ascii="仿宋" w:hAnsi="仿宋" w:eastAsia="仿宋" w:cs="仿宋"/>
                <w:sz w:val="18"/>
                <w:szCs w:val="18"/>
              </w:rPr>
            </w:pPr>
          </w:p>
        </w:tc>
        <w:tc>
          <w:tcPr>
            <w:tcW w:w="1215" w:type="dxa"/>
            <w:vAlign w:val="center"/>
          </w:tcPr>
          <w:p>
            <w:pPr>
              <w:spacing w:beforeLines="50" w:afterLines="50"/>
              <w:jc w:val="center"/>
              <w:rPr>
                <w:rFonts w:ascii="仿宋" w:hAnsi="仿宋" w:eastAsia="仿宋" w:cs="仿宋"/>
                <w:sz w:val="18"/>
                <w:szCs w:val="18"/>
              </w:rPr>
            </w:pPr>
            <w:r>
              <w:rPr>
                <w:rFonts w:hint="eastAsia" w:ascii="仿宋" w:hAnsi="仿宋" w:eastAsia="仿宋" w:cs="仿宋"/>
                <w:sz w:val="18"/>
                <w:szCs w:val="18"/>
                <w:lang w:eastAsia="zh-CN"/>
              </w:rPr>
              <w:t>陵川县</w:t>
            </w:r>
            <w:r>
              <w:rPr>
                <w:rFonts w:hint="eastAsia" w:ascii="仿宋" w:hAnsi="仿宋" w:eastAsia="仿宋" w:cs="仿宋"/>
                <w:sz w:val="18"/>
                <w:szCs w:val="18"/>
              </w:rPr>
              <w:t>退役军人事务局</w:t>
            </w:r>
          </w:p>
        </w:tc>
        <w:tc>
          <w:tcPr>
            <w:tcW w:w="720" w:type="dxa"/>
            <w:vAlign w:val="center"/>
          </w:tcPr>
          <w:p>
            <w:pPr>
              <w:spacing w:beforeLines="50" w:afterLines="50"/>
              <w:jc w:val="center"/>
              <w:rPr>
                <w:rFonts w:ascii="仿宋" w:hAnsi="仿宋" w:eastAsia="仿宋" w:cs="仿宋"/>
                <w:sz w:val="18"/>
                <w:szCs w:val="18"/>
              </w:rPr>
            </w:pPr>
            <w:r>
              <w:rPr>
                <w:rFonts w:hint="eastAsia" w:ascii="仿宋" w:hAnsi="仿宋" w:eastAsia="仿宋" w:cs="仿宋"/>
                <w:sz w:val="18"/>
                <w:szCs w:val="18"/>
              </w:rPr>
              <w:t>行政给付</w:t>
            </w:r>
          </w:p>
        </w:tc>
        <w:tc>
          <w:tcPr>
            <w:tcW w:w="3555" w:type="dxa"/>
            <w:vAlign w:val="center"/>
          </w:tcPr>
          <w:p>
            <w:pPr>
              <w:widowControl/>
              <w:spacing w:line="0" w:lineRule="atLeast"/>
              <w:textAlignment w:val="center"/>
              <w:rPr>
                <w:rFonts w:ascii="仿宋" w:hAnsi="仿宋" w:eastAsia="仿宋" w:cs="仿宋"/>
                <w:sz w:val="24"/>
                <w:szCs w:val="24"/>
              </w:rPr>
            </w:pPr>
            <w:r>
              <w:rPr>
                <w:rFonts w:hint="eastAsia" w:ascii="仿宋" w:hAnsi="仿宋" w:eastAsia="仿宋" w:cs="仿宋"/>
                <w:color w:val="000000"/>
                <w:kern w:val="0"/>
                <w:sz w:val="18"/>
                <w:szCs w:val="18"/>
              </w:rPr>
              <w:t>【规章】《山西省军人抚恤优待实施办法》(2015年山西省人民政府令第240号)  第三十七条符合下列条件的农村籍退伍士兵，经设区的市人民政府民政部门批准，由其户籍所在地县级人民政府民政部门给予农村籍退役士兵老年生活补助：（一）1954年11月1日至2011年11月1日期间入伍;（二）60周岁（含）以上；（三）未享受国家定期抚恤补助。</w:t>
            </w:r>
          </w:p>
        </w:tc>
        <w:tc>
          <w:tcPr>
            <w:tcW w:w="2835" w:type="dxa"/>
            <w:vAlign w:val="center"/>
          </w:tcPr>
          <w:p>
            <w:pPr>
              <w:widowControl/>
              <w:spacing w:line="0" w:lineRule="atLeast"/>
              <w:jc w:val="left"/>
              <w:textAlignment w:val="center"/>
              <w:rPr>
                <w:rFonts w:ascii="仿宋" w:hAnsi="仿宋" w:eastAsia="仿宋" w:cs="仿宋"/>
                <w:b/>
                <w:bCs/>
                <w:sz w:val="24"/>
                <w:szCs w:val="24"/>
              </w:rPr>
            </w:pPr>
            <w:r>
              <w:rPr>
                <w:rFonts w:hint="eastAsia" w:ascii="仿宋" w:hAnsi="仿宋" w:eastAsia="仿宋" w:cs="仿宋"/>
                <w:color w:val="000000"/>
                <w:kern w:val="0"/>
                <w:sz w:val="18"/>
                <w:szCs w:val="18"/>
              </w:rPr>
              <w:t>1、受理责任：对申请人提交材料齐备的，予以受理；申请材料不齐全或者不符合申请办理程序的,应告知申请人补齐资料或申请办理的相关程序。              2、审查责任：对申请人提交的材料内容进行真实性审查。依法需要对申请材料的实质内容进行核实的，进行入户调查、走访核实。                 3、审核上报责任：符合办理条件的，及时予以上报审批。不符合条件的告知理由。                   4、给付责任：将审批通过的名单、补助时间及补助标准，按时送交财务股。由财务股发至个人账户。                       5、监管责任：开展定期不定期检查，看资金是否发放到位。                 6、其他法律法规规章文件规定应履行的责任。</w:t>
            </w:r>
          </w:p>
        </w:tc>
        <w:tc>
          <w:tcPr>
            <w:tcW w:w="2820" w:type="dxa"/>
            <w:vAlign w:val="center"/>
          </w:tcPr>
          <w:p>
            <w:pPr>
              <w:widowControl/>
              <w:spacing w:line="0" w:lineRule="atLeast"/>
              <w:jc w:val="left"/>
              <w:textAlignment w:val="center"/>
              <w:rPr>
                <w:rFonts w:ascii="仿宋" w:hAnsi="仿宋" w:eastAsia="仿宋" w:cs="仿宋"/>
                <w:b/>
                <w:bCs/>
                <w:sz w:val="24"/>
                <w:szCs w:val="24"/>
              </w:rPr>
            </w:pPr>
            <w:r>
              <w:rPr>
                <w:rFonts w:hint="eastAsia" w:ascii="仿宋" w:hAnsi="仿宋" w:eastAsia="仿宋" w:cs="仿宋"/>
                <w:color w:val="000000"/>
                <w:kern w:val="0"/>
                <w:sz w:val="18"/>
                <w:szCs w:val="18"/>
              </w:rPr>
              <w:t>【规范性文件】《关于给部分农村籍退役士兵发放老年生活补助的通知》（民发〔2011〕110号）                                                        【规范性文件】《民政部办公厅关于落实给部分农村籍退役士兵发放老年生活补助政策措施的通知》（民办发〔2011〕11号）：“从2011年8月1日起，给部分农村籍退役士兵发放老年生活补助。各级民政、财政部门要按照统一部署和要求，结合本地实际，周密制定实施方案，切实加大工作力度，保障工作经费，确保政策及时落实到位。”</w:t>
            </w:r>
          </w:p>
        </w:tc>
        <w:tc>
          <w:tcPr>
            <w:tcW w:w="1102" w:type="dxa"/>
            <w:vAlign w:val="center"/>
          </w:tcPr>
          <w:p>
            <w:pPr>
              <w:spacing w:beforeLines="50" w:afterLines="50"/>
              <w:jc w:val="center"/>
              <w:rPr>
                <w:rFonts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事项编码</w:t>
            </w:r>
          </w:p>
        </w:tc>
        <w:tc>
          <w:tcPr>
            <w:tcW w:w="1665" w:type="dxa"/>
            <w:gridSpan w:val="2"/>
            <w:vAlign w:val="center"/>
          </w:tcPr>
          <w:p>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事项名称</w:t>
            </w:r>
          </w:p>
        </w:tc>
        <w:tc>
          <w:tcPr>
            <w:tcW w:w="1215" w:type="dxa"/>
            <w:vMerge w:val="restart"/>
            <w:vAlign w:val="center"/>
          </w:tcPr>
          <w:p>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实施主体</w:t>
            </w:r>
          </w:p>
        </w:tc>
        <w:tc>
          <w:tcPr>
            <w:tcW w:w="720" w:type="dxa"/>
            <w:vMerge w:val="restart"/>
            <w:vAlign w:val="center"/>
          </w:tcPr>
          <w:p>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事项类别</w:t>
            </w:r>
          </w:p>
        </w:tc>
        <w:tc>
          <w:tcPr>
            <w:tcW w:w="3555" w:type="dxa"/>
            <w:vMerge w:val="restart"/>
            <w:vAlign w:val="center"/>
          </w:tcPr>
          <w:p>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事项依据</w:t>
            </w:r>
          </w:p>
        </w:tc>
        <w:tc>
          <w:tcPr>
            <w:tcW w:w="2835" w:type="dxa"/>
            <w:vMerge w:val="restart"/>
            <w:vAlign w:val="center"/>
          </w:tcPr>
          <w:p>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w:t>
            </w:r>
          </w:p>
        </w:tc>
        <w:tc>
          <w:tcPr>
            <w:tcW w:w="2820" w:type="dxa"/>
            <w:vMerge w:val="restart"/>
            <w:vAlign w:val="center"/>
          </w:tcPr>
          <w:p>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责任事项依据</w:t>
            </w:r>
          </w:p>
        </w:tc>
        <w:tc>
          <w:tcPr>
            <w:tcW w:w="1102" w:type="dxa"/>
            <w:vMerge w:val="restart"/>
            <w:vAlign w:val="center"/>
          </w:tcPr>
          <w:p>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pPr>
              <w:spacing w:beforeLines="50" w:afterLines="50"/>
              <w:jc w:val="center"/>
              <w:rPr>
                <w:rFonts w:asciiTheme="minorEastAsia" w:hAnsiTheme="minorEastAsia" w:eastAsiaTheme="minorEastAsia" w:cstheme="minorEastAsia"/>
                <w:b/>
                <w:bCs/>
                <w:sz w:val="24"/>
                <w:szCs w:val="24"/>
              </w:rPr>
            </w:pPr>
          </w:p>
        </w:tc>
        <w:tc>
          <w:tcPr>
            <w:tcW w:w="870" w:type="dxa"/>
            <w:vAlign w:val="center"/>
          </w:tcPr>
          <w:p>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大项</w:t>
            </w:r>
          </w:p>
        </w:tc>
        <w:tc>
          <w:tcPr>
            <w:tcW w:w="795" w:type="dxa"/>
            <w:vAlign w:val="center"/>
          </w:tcPr>
          <w:p>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子项</w:t>
            </w:r>
          </w:p>
        </w:tc>
        <w:tc>
          <w:tcPr>
            <w:tcW w:w="1215" w:type="dxa"/>
            <w:vAlign w:val="center"/>
          </w:tcPr>
          <w:p>
            <w:pPr>
              <w:spacing w:beforeLines="50" w:afterLines="50"/>
              <w:jc w:val="center"/>
              <w:rPr>
                <w:rFonts w:asciiTheme="minorEastAsia" w:hAnsiTheme="minorEastAsia" w:eastAsiaTheme="minorEastAsia" w:cstheme="minorEastAsia"/>
                <w:b/>
                <w:bCs/>
                <w:sz w:val="24"/>
                <w:szCs w:val="24"/>
              </w:rPr>
            </w:pPr>
          </w:p>
        </w:tc>
        <w:tc>
          <w:tcPr>
            <w:tcW w:w="720" w:type="dxa"/>
            <w:vAlign w:val="center"/>
          </w:tcPr>
          <w:p>
            <w:pPr>
              <w:spacing w:beforeLines="50" w:afterLines="50"/>
              <w:jc w:val="center"/>
              <w:rPr>
                <w:rFonts w:asciiTheme="minorEastAsia" w:hAnsiTheme="minorEastAsia" w:eastAsiaTheme="minorEastAsia" w:cstheme="minorEastAsia"/>
                <w:b/>
                <w:bCs/>
                <w:sz w:val="24"/>
                <w:szCs w:val="24"/>
              </w:rPr>
            </w:pPr>
          </w:p>
        </w:tc>
        <w:tc>
          <w:tcPr>
            <w:tcW w:w="3555" w:type="dxa"/>
            <w:vAlign w:val="center"/>
          </w:tcPr>
          <w:p>
            <w:pPr>
              <w:spacing w:beforeLines="50" w:afterLines="50"/>
              <w:jc w:val="center"/>
              <w:rPr>
                <w:rFonts w:asciiTheme="minorEastAsia" w:hAnsiTheme="minorEastAsia" w:eastAsiaTheme="minorEastAsia" w:cstheme="minorEastAsia"/>
                <w:b/>
                <w:bCs/>
                <w:sz w:val="24"/>
                <w:szCs w:val="24"/>
              </w:rPr>
            </w:pPr>
          </w:p>
        </w:tc>
        <w:tc>
          <w:tcPr>
            <w:tcW w:w="2835" w:type="dxa"/>
            <w:vAlign w:val="center"/>
          </w:tcPr>
          <w:p>
            <w:pPr>
              <w:spacing w:beforeLines="50" w:afterLines="50"/>
              <w:jc w:val="center"/>
              <w:rPr>
                <w:rFonts w:asciiTheme="minorEastAsia" w:hAnsiTheme="minorEastAsia" w:eastAsiaTheme="minorEastAsia" w:cstheme="minorEastAsia"/>
                <w:b/>
                <w:bCs/>
                <w:sz w:val="24"/>
                <w:szCs w:val="24"/>
              </w:rPr>
            </w:pPr>
          </w:p>
        </w:tc>
        <w:tc>
          <w:tcPr>
            <w:tcW w:w="2820" w:type="dxa"/>
            <w:vAlign w:val="center"/>
          </w:tcPr>
          <w:p>
            <w:pPr>
              <w:spacing w:beforeLines="50" w:afterLines="50"/>
              <w:jc w:val="center"/>
              <w:rPr>
                <w:rFonts w:asciiTheme="minorEastAsia" w:hAnsiTheme="minorEastAsia" w:eastAsiaTheme="minorEastAsia" w:cstheme="minorEastAsia"/>
                <w:b/>
                <w:bCs/>
                <w:sz w:val="24"/>
                <w:szCs w:val="24"/>
              </w:rPr>
            </w:pPr>
          </w:p>
        </w:tc>
        <w:tc>
          <w:tcPr>
            <w:tcW w:w="1102" w:type="dxa"/>
            <w:vAlign w:val="center"/>
          </w:tcPr>
          <w:p>
            <w:pPr>
              <w:spacing w:beforeLines="50" w:afterLines="50"/>
              <w:jc w:val="center"/>
              <w:rPr>
                <w:rFonts w:asciiTheme="minorEastAsia" w:hAnsiTheme="minorEastAsia" w:eastAsiaTheme="minorEastAsia" w:cs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3" w:hRule="atLeast"/>
        </w:trPr>
        <w:tc>
          <w:tcPr>
            <w:tcW w:w="1232" w:type="dxa"/>
            <w:vAlign w:val="center"/>
          </w:tcPr>
          <w:p>
            <w:pPr>
              <w:spacing w:beforeLines="50" w:afterLines="50"/>
              <w:jc w:val="center"/>
              <w:rPr>
                <w:rFonts w:hint="eastAsia" w:ascii="仿宋" w:hAnsi="仿宋" w:eastAsia="仿宋" w:cs="仿宋"/>
                <w:b/>
                <w:bCs/>
                <w:sz w:val="24"/>
                <w:szCs w:val="24"/>
                <w:lang w:eastAsia="zh-CN"/>
              </w:rPr>
            </w:pPr>
            <w:r>
              <w:rPr>
                <w:rFonts w:hint="eastAsia" w:ascii="仿宋" w:hAnsi="仿宋" w:eastAsia="仿宋" w:cs="仿宋"/>
                <w:sz w:val="18"/>
                <w:szCs w:val="18"/>
                <w:lang w:val="en-US" w:eastAsia="zh-CN"/>
              </w:rPr>
              <w:t>4</w:t>
            </w:r>
          </w:p>
        </w:tc>
        <w:tc>
          <w:tcPr>
            <w:tcW w:w="870" w:type="dxa"/>
            <w:vAlign w:val="center"/>
          </w:tcPr>
          <w:p>
            <w:pPr>
              <w:widowControl/>
              <w:textAlignment w:val="center"/>
              <w:rPr>
                <w:rFonts w:ascii="仿宋" w:hAnsi="仿宋" w:eastAsia="仿宋" w:cs="仿宋"/>
                <w:sz w:val="24"/>
                <w:szCs w:val="24"/>
              </w:rPr>
            </w:pPr>
            <w:r>
              <w:rPr>
                <w:rFonts w:hint="eastAsia" w:ascii="仿宋" w:hAnsi="仿宋" w:eastAsia="仿宋" w:cs="仿宋"/>
                <w:color w:val="000000"/>
                <w:kern w:val="0"/>
                <w:sz w:val="18"/>
                <w:szCs w:val="18"/>
              </w:rPr>
              <w:t>在乡复员军人定期定量补助金给付</w:t>
            </w:r>
          </w:p>
        </w:tc>
        <w:tc>
          <w:tcPr>
            <w:tcW w:w="795" w:type="dxa"/>
            <w:vAlign w:val="center"/>
          </w:tcPr>
          <w:p>
            <w:pPr>
              <w:spacing w:beforeLines="50" w:afterLines="50"/>
              <w:jc w:val="center"/>
              <w:rPr>
                <w:rFonts w:ascii="仿宋" w:hAnsi="仿宋" w:eastAsia="仿宋" w:cs="仿宋"/>
                <w:sz w:val="24"/>
                <w:szCs w:val="24"/>
              </w:rPr>
            </w:pPr>
          </w:p>
        </w:tc>
        <w:tc>
          <w:tcPr>
            <w:tcW w:w="1215" w:type="dxa"/>
            <w:vAlign w:val="center"/>
          </w:tcPr>
          <w:p>
            <w:pPr>
              <w:spacing w:beforeLines="50" w:afterLines="50"/>
              <w:jc w:val="center"/>
              <w:rPr>
                <w:rFonts w:ascii="仿宋" w:hAnsi="仿宋" w:eastAsia="仿宋" w:cs="仿宋"/>
                <w:sz w:val="18"/>
                <w:szCs w:val="18"/>
              </w:rPr>
            </w:pPr>
            <w:r>
              <w:rPr>
                <w:rFonts w:hint="eastAsia" w:ascii="仿宋" w:hAnsi="仿宋" w:eastAsia="仿宋" w:cs="仿宋"/>
                <w:sz w:val="18"/>
                <w:szCs w:val="18"/>
                <w:lang w:eastAsia="zh-CN"/>
              </w:rPr>
              <w:t>陵川县</w:t>
            </w:r>
            <w:r>
              <w:rPr>
                <w:rFonts w:hint="eastAsia" w:ascii="仿宋" w:hAnsi="仿宋" w:eastAsia="仿宋" w:cs="仿宋"/>
                <w:sz w:val="18"/>
                <w:szCs w:val="18"/>
              </w:rPr>
              <w:t>退役军人事务局</w:t>
            </w:r>
          </w:p>
        </w:tc>
        <w:tc>
          <w:tcPr>
            <w:tcW w:w="720" w:type="dxa"/>
            <w:vAlign w:val="center"/>
          </w:tcPr>
          <w:p>
            <w:pPr>
              <w:spacing w:beforeLines="50" w:afterLines="50"/>
              <w:jc w:val="center"/>
              <w:rPr>
                <w:rFonts w:ascii="仿宋" w:hAnsi="仿宋" w:eastAsia="仿宋" w:cs="仿宋"/>
                <w:sz w:val="18"/>
                <w:szCs w:val="18"/>
              </w:rPr>
            </w:pPr>
            <w:r>
              <w:rPr>
                <w:rFonts w:hint="eastAsia" w:ascii="仿宋" w:hAnsi="仿宋" w:eastAsia="仿宋" w:cs="仿宋"/>
                <w:sz w:val="18"/>
                <w:szCs w:val="18"/>
              </w:rPr>
              <w:t>行政给付</w:t>
            </w:r>
          </w:p>
        </w:tc>
        <w:tc>
          <w:tcPr>
            <w:tcW w:w="3555" w:type="dxa"/>
            <w:vAlign w:val="center"/>
          </w:tcPr>
          <w:p>
            <w:pPr>
              <w:widowControl/>
              <w:spacing w:line="0" w:lineRule="atLeast"/>
              <w:jc w:val="left"/>
              <w:textAlignment w:val="center"/>
              <w:rPr>
                <w:rFonts w:ascii="仿宋" w:hAnsi="仿宋" w:eastAsia="仿宋" w:cs="仿宋"/>
                <w:sz w:val="24"/>
                <w:szCs w:val="24"/>
              </w:rPr>
            </w:pPr>
            <w:r>
              <w:rPr>
                <w:rFonts w:hint="eastAsia" w:ascii="仿宋" w:hAnsi="仿宋" w:eastAsia="仿宋" w:cs="仿宋"/>
                <w:color w:val="000000"/>
                <w:kern w:val="0"/>
                <w:sz w:val="18"/>
                <w:szCs w:val="18"/>
              </w:rPr>
              <w:t>【规章】《山西省军人抚恤优待实施办法》(201</w:t>
            </w:r>
            <w:r>
              <w:rPr>
                <w:rFonts w:hint="eastAsia" w:ascii="仿宋" w:hAnsi="仿宋" w:eastAsia="仿宋" w:cs="仿宋"/>
                <w:color w:val="000000"/>
                <w:kern w:val="0"/>
                <w:sz w:val="18"/>
                <w:szCs w:val="18"/>
                <w:lang w:val="en-US" w:eastAsia="zh-CN"/>
              </w:rPr>
              <w:t>5年山西省人民政府令第240号) 第三十二条  从未参加工作，且符合下列条件的复员军人，经设区的市人民政府民政部门批准，由其户籍所在地县级人民政府民政部门按照规定标准给予在乡复员军人定期定量补助：（一）1954年10月31日前参加中国工农红军、东北抗日联军、中国共产党领导的脱产游击队、八路军、新四军、解放军、中国人民志愿军的；              （二）持有复员、退伍证件或者经批准复员的有效证明材料的。第三十三条在乡退伍红军老战士病故后，其配偶生活困难的，由其配偶户籍所在地县级人民政府民政部门按照抗日战争时期入伍的在乡复员军人定期定量补助标准给予补</w:t>
            </w:r>
            <w:r>
              <w:rPr>
                <w:rFonts w:hint="eastAsia" w:ascii="仿宋" w:hAnsi="仿宋" w:eastAsia="仿宋" w:cs="仿宋"/>
                <w:color w:val="000000"/>
                <w:kern w:val="0"/>
                <w:sz w:val="18"/>
                <w:szCs w:val="18"/>
              </w:rPr>
              <w:t>助。</w:t>
            </w:r>
          </w:p>
        </w:tc>
        <w:tc>
          <w:tcPr>
            <w:tcW w:w="2835" w:type="dxa"/>
            <w:vAlign w:val="center"/>
          </w:tcPr>
          <w:p>
            <w:pPr>
              <w:widowControl/>
              <w:spacing w:line="0" w:lineRule="atLeast"/>
              <w:jc w:val="left"/>
              <w:textAlignment w:val="center"/>
              <w:rPr>
                <w:rFonts w:ascii="仿宋" w:hAnsi="仿宋" w:eastAsia="仿宋" w:cs="仿宋"/>
                <w:b/>
                <w:bCs/>
                <w:sz w:val="24"/>
                <w:szCs w:val="24"/>
              </w:rPr>
            </w:pPr>
            <w:r>
              <w:rPr>
                <w:rFonts w:hint="eastAsia" w:ascii="仿宋" w:hAnsi="仿宋" w:eastAsia="仿宋" w:cs="仿宋"/>
                <w:color w:val="000000"/>
                <w:kern w:val="0"/>
                <w:sz w:val="18"/>
                <w:szCs w:val="18"/>
              </w:rPr>
              <w:t>1、受理责任：对申请人提交材料进行审查，材料齐备的，予以受理；申请材料不齐全或者不符合申请办理程序的,应告知申请人补齐资料或申请办理的相关程序。                   2、审查责任：对申请人提交的材料内容进行真实性审查。依法需要对申请材料的实质内容进行核实的，进行入户调查、走访核实。                       3、上报审批责任：符合办理条件的，及时予以办理。不符合条件的，告知理由。                    4、给付责任：将符合办理条件者的名单、补助时间及标准按时送交财务股。由财务股发至个人账户。                   5、监管责任：开展定期不定期检查，看资金是否发放到位。               6、其他法律法规规章文件规定应履行的责任。</w:t>
            </w:r>
          </w:p>
        </w:tc>
        <w:tc>
          <w:tcPr>
            <w:tcW w:w="2820" w:type="dxa"/>
            <w:vAlign w:val="center"/>
          </w:tcPr>
          <w:p>
            <w:pPr>
              <w:widowControl/>
              <w:spacing w:line="0" w:lineRule="atLeast"/>
              <w:jc w:val="left"/>
              <w:textAlignment w:val="center"/>
              <w:rPr>
                <w:rFonts w:ascii="仿宋" w:hAnsi="仿宋" w:eastAsia="仿宋" w:cs="仿宋"/>
                <w:b/>
                <w:bCs/>
                <w:sz w:val="24"/>
                <w:szCs w:val="24"/>
              </w:rPr>
            </w:pPr>
            <w:r>
              <w:rPr>
                <w:rFonts w:hint="eastAsia" w:ascii="仿宋" w:hAnsi="仿宋" w:eastAsia="仿宋" w:cs="仿宋"/>
                <w:color w:val="000000"/>
                <w:kern w:val="0"/>
                <w:sz w:val="18"/>
                <w:szCs w:val="18"/>
              </w:rPr>
              <w:t>【法规】《军人抚恤优待条例》（国务院、中央军委令第413号）：“第四十四条复员军人生活困难的，按照规定的条件，由当地人民政府退役军人事务部门给予定期定量补助，逐步改善其生活条件。”</w:t>
            </w:r>
          </w:p>
        </w:tc>
        <w:tc>
          <w:tcPr>
            <w:tcW w:w="1102" w:type="dxa"/>
            <w:vAlign w:val="center"/>
          </w:tcPr>
          <w:p>
            <w:pPr>
              <w:spacing w:beforeLines="50" w:afterLines="50"/>
              <w:jc w:val="center"/>
              <w:rPr>
                <w:rFonts w:ascii="仿宋" w:hAnsi="仿宋" w:eastAsia="仿宋" w:cs="仿宋"/>
                <w:b/>
                <w:bCs/>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pPr>
      <w:bookmarkStart w:id="0" w:name="_GoBack"/>
      <w:bookmarkEnd w:id="0"/>
    </w:p>
    <w:sectPr>
      <w:headerReference r:id="rId3" w:type="default"/>
      <w:footerReference r:id="rId4" w:type="default"/>
      <w:pgSz w:w="16838" w:h="11906" w:orient="landscape"/>
      <w:pgMar w:top="1587" w:right="1440" w:bottom="158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eastAsia="宋体"/>
        <w:sz w:val="48"/>
        <w:szCs w:val="48"/>
        <w:lang w:val="en-US" w:eastAsia="zh-CN"/>
      </w:rPr>
    </w:pPr>
    <w:r>
      <w:rPr>
        <w:rFonts w:hint="eastAsia"/>
        <w:sz w:val="48"/>
        <w:szCs w:val="48"/>
        <w:lang w:eastAsia="zh-CN"/>
      </w:rPr>
      <w:t>陵川县</w:t>
    </w:r>
    <w:r>
      <w:rPr>
        <w:rFonts w:hint="eastAsia"/>
        <w:sz w:val="48"/>
        <w:szCs w:val="48"/>
      </w:rPr>
      <w:t>退役军人事务局</w:t>
    </w:r>
    <w:r>
      <w:rPr>
        <w:rFonts w:hint="eastAsia"/>
        <w:sz w:val="48"/>
        <w:szCs w:val="48"/>
        <w:lang w:val="en-US" w:eastAsia="zh-CN"/>
      </w:rPr>
      <w:t>重大行政执法决定法制审核目录清单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2893F8"/>
    <w:multiLevelType w:val="singleLevel"/>
    <w:tmpl w:val="522893F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647928"/>
    <w:rsid w:val="0037602F"/>
    <w:rsid w:val="006C7B29"/>
    <w:rsid w:val="00760C1E"/>
    <w:rsid w:val="009440AA"/>
    <w:rsid w:val="009D14E1"/>
    <w:rsid w:val="00AD655E"/>
    <w:rsid w:val="00B13455"/>
    <w:rsid w:val="00B947E0"/>
    <w:rsid w:val="00E8450D"/>
    <w:rsid w:val="00E90250"/>
    <w:rsid w:val="00F946E1"/>
    <w:rsid w:val="03647928"/>
    <w:rsid w:val="088C310E"/>
    <w:rsid w:val="09FE0F14"/>
    <w:rsid w:val="17EE3553"/>
    <w:rsid w:val="198B6BBC"/>
    <w:rsid w:val="1A32155D"/>
    <w:rsid w:val="1FFF178F"/>
    <w:rsid w:val="23BF5C2E"/>
    <w:rsid w:val="2C114F1F"/>
    <w:rsid w:val="318F29F3"/>
    <w:rsid w:val="34CC4910"/>
    <w:rsid w:val="351A7212"/>
    <w:rsid w:val="3A7B6779"/>
    <w:rsid w:val="3ADA3818"/>
    <w:rsid w:val="3C382AD0"/>
    <w:rsid w:val="47141FED"/>
    <w:rsid w:val="57386309"/>
    <w:rsid w:val="595E091A"/>
    <w:rsid w:val="5FD850EA"/>
    <w:rsid w:val="64E31453"/>
    <w:rsid w:val="77171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33</Pages>
  <Words>4230</Words>
  <Characters>24115</Characters>
  <Lines>200</Lines>
  <Paragraphs>56</Paragraphs>
  <TotalTime>9</TotalTime>
  <ScaleCrop>false</ScaleCrop>
  <LinksUpToDate>false</LinksUpToDate>
  <CharactersWithSpaces>28289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2019-09-09T03:20:00Z</dcterms:created>
  <dc:creator>Administrator</dc:creator>
  <cp:lastModifiedBy>简单</cp:lastModifiedBy>
  <cp:lastPrinted>2020-11-04T01:03:00Z</cp:lastPrinted>
  <dcterms:modified xsi:type="dcterms:W3CDTF">2021-09-05T06:55:31Z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7ABF51965A634F9983057A11E2DF2942</vt:lpwstr>
  </property>
</Properties>
</file>