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陵川县司法局行政执法事项清单</w:t>
      </w:r>
    </w:p>
    <w:tbl>
      <w:tblPr>
        <w:tblStyle w:val="5"/>
        <w:tblW w:w="155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79"/>
        <w:gridCol w:w="1810"/>
        <w:gridCol w:w="1073"/>
        <w:gridCol w:w="1092"/>
        <w:gridCol w:w="1417"/>
        <w:gridCol w:w="863"/>
        <w:gridCol w:w="863"/>
        <w:gridCol w:w="863"/>
        <w:gridCol w:w="863"/>
        <w:gridCol w:w="863"/>
        <w:gridCol w:w="868"/>
        <w:gridCol w:w="985"/>
        <w:gridCol w:w="606"/>
        <w:gridCol w:w="615"/>
        <w:gridCol w:w="885"/>
        <w:gridCol w:w="118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4" w:hRule="atLeast"/>
          <w:jc w:val="center"/>
        </w:trPr>
        <w:tc>
          <w:tcPr>
            <w:tcW w:w="679"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ascii="黑体" w:hAnsi="Calibri" w:eastAsia="黑体" w:cs="黑体"/>
                <w:color w:val="000000"/>
                <w:kern w:val="0"/>
                <w:sz w:val="24"/>
              </w:rPr>
              <w:t>序号</w:t>
            </w:r>
          </w:p>
        </w:tc>
        <w:tc>
          <w:tcPr>
            <w:tcW w:w="1810"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项目名称</w:t>
            </w:r>
          </w:p>
        </w:tc>
        <w:tc>
          <w:tcPr>
            <w:tcW w:w="1073"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执法</w:t>
            </w:r>
          </w:p>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类别</w:t>
            </w:r>
          </w:p>
        </w:tc>
        <w:tc>
          <w:tcPr>
            <w:tcW w:w="1092"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执法</w:t>
            </w:r>
          </w:p>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主体</w:t>
            </w:r>
          </w:p>
        </w:tc>
        <w:tc>
          <w:tcPr>
            <w:tcW w:w="1417"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承办</w:t>
            </w:r>
          </w:p>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机构</w:t>
            </w:r>
          </w:p>
        </w:tc>
        <w:tc>
          <w:tcPr>
            <w:tcW w:w="5183" w:type="dxa"/>
            <w:gridSpan w:val="6"/>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执法依据</w:t>
            </w:r>
          </w:p>
        </w:tc>
        <w:tc>
          <w:tcPr>
            <w:tcW w:w="985"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实施</w:t>
            </w:r>
          </w:p>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对象</w:t>
            </w:r>
          </w:p>
        </w:tc>
        <w:tc>
          <w:tcPr>
            <w:tcW w:w="1221" w:type="dxa"/>
            <w:gridSpan w:val="2"/>
            <w:tcBorders>
              <w:tl2br w:val="nil"/>
              <w:tr2bl w:val="nil"/>
            </w:tcBorders>
            <w:tcMar>
              <w:left w:w="15" w:type="dxa"/>
              <w:right w:w="15" w:type="dxa"/>
            </w:tcMar>
            <w:vAlign w:val="center"/>
          </w:tcPr>
          <w:p>
            <w:pPr>
              <w:widowControl/>
              <w:jc w:val="center"/>
              <w:textAlignment w:val="center"/>
              <w:rPr>
                <w:rFonts w:ascii="黑体" w:hAnsi="Calibri" w:eastAsia="黑体" w:cs="黑体"/>
                <w:color w:val="000000"/>
                <w:kern w:val="0"/>
                <w:sz w:val="24"/>
              </w:rPr>
            </w:pPr>
            <w:r>
              <w:rPr>
                <w:rFonts w:hint="eastAsia" w:ascii="黑体" w:hAnsi="Calibri" w:eastAsia="黑体" w:cs="黑体"/>
                <w:color w:val="000000"/>
                <w:kern w:val="0"/>
                <w:sz w:val="24"/>
              </w:rPr>
              <w:t>办理时限</w:t>
            </w:r>
          </w:p>
        </w:tc>
        <w:tc>
          <w:tcPr>
            <w:tcW w:w="885"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收费</w:t>
            </w:r>
          </w:p>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标准</w:t>
            </w:r>
          </w:p>
        </w:tc>
        <w:tc>
          <w:tcPr>
            <w:tcW w:w="1185" w:type="dxa"/>
            <w:vMerge w:val="restart"/>
            <w:tcBorders>
              <w:tl2br w:val="nil"/>
              <w:tr2bl w:val="nil"/>
            </w:tcBorders>
            <w:tcMar>
              <w:left w:w="15" w:type="dxa"/>
              <w:right w:w="15" w:type="dxa"/>
            </w:tcMar>
            <w:vAlign w:val="center"/>
          </w:tcPr>
          <w:p>
            <w:pPr>
              <w:widowControl/>
              <w:jc w:val="center"/>
              <w:textAlignment w:val="center"/>
              <w:rPr>
                <w:rFonts w:ascii="Calibri" w:hAnsi="Calibri" w:eastAsia="宋体" w:cs="Calibri"/>
                <w:szCs w:val="21"/>
              </w:rPr>
            </w:pPr>
            <w:r>
              <w:rPr>
                <w:rFonts w:hint="eastAsia" w:ascii="黑体" w:hAnsi="Calibri" w:eastAsia="黑体" w:cs="黑体"/>
                <w:color w:val="000000"/>
                <w:kern w:val="0"/>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3" w:hRule="atLeast"/>
          <w:jc w:val="center"/>
        </w:trPr>
        <w:tc>
          <w:tcPr>
            <w:tcW w:w="679" w:type="dxa"/>
            <w:vMerge w:val="continue"/>
            <w:tcBorders>
              <w:tl2br w:val="nil"/>
              <w:tr2bl w:val="nil"/>
            </w:tcBorders>
            <w:shd w:val="clear" w:color="auto" w:fill="auto"/>
            <w:tcMar>
              <w:left w:w="15" w:type="dxa"/>
              <w:right w:w="15" w:type="dxa"/>
            </w:tcMar>
            <w:vAlign w:val="center"/>
          </w:tcPr>
          <w:p>
            <w:pPr>
              <w:widowControl/>
              <w:jc w:val="center"/>
              <w:textAlignment w:val="center"/>
              <w:rPr>
                <w:rFonts w:ascii="仿宋" w:hAnsi="仿宋" w:eastAsia="仿宋" w:cs="仿宋"/>
                <w:color w:val="000000"/>
                <w:kern w:val="0"/>
                <w:sz w:val="22"/>
                <w:szCs w:val="22"/>
              </w:rPr>
            </w:pPr>
          </w:p>
        </w:tc>
        <w:tc>
          <w:tcPr>
            <w:tcW w:w="1810" w:type="dxa"/>
            <w:vMerge w:val="continue"/>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1073" w:type="dxa"/>
            <w:vMerge w:val="continue"/>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1092" w:type="dxa"/>
            <w:vMerge w:val="continue"/>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1417" w:type="dxa"/>
            <w:vMerge w:val="continue"/>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63" w:type="dxa"/>
            <w:tcBorders>
              <w:tl2br w:val="nil"/>
              <w:tr2bl w:val="nil"/>
            </w:tcBorders>
            <w:shd w:val="clear" w:color="auto" w:fill="FFFFFF"/>
            <w:tcMar>
              <w:left w:w="15" w:type="dxa"/>
              <w:right w:w="15" w:type="dxa"/>
            </w:tcMar>
            <w:vAlign w:val="center"/>
          </w:tcPr>
          <w:p>
            <w:pPr>
              <w:widowControl/>
              <w:ind w:firstLine="240" w:firstLineChars="100"/>
              <w:jc w:val="left"/>
              <w:textAlignment w:val="center"/>
              <w:rPr>
                <w:rFonts w:ascii="仿宋" w:hAnsi="仿宋" w:eastAsia="仿宋" w:cs="仿宋"/>
                <w:color w:val="000000"/>
                <w:kern w:val="0"/>
                <w:szCs w:val="21"/>
              </w:rPr>
            </w:pPr>
            <w:r>
              <w:rPr>
                <w:rFonts w:hint="eastAsia" w:ascii="黑体" w:hAnsi="Calibri" w:eastAsia="黑体" w:cs="黑体"/>
                <w:color w:val="000000"/>
                <w:kern w:val="0"/>
                <w:sz w:val="24"/>
              </w:rPr>
              <w:t>法律</w:t>
            </w:r>
          </w:p>
        </w:tc>
        <w:tc>
          <w:tcPr>
            <w:tcW w:w="863" w:type="dxa"/>
            <w:tcBorders>
              <w:tl2br w:val="nil"/>
              <w:tr2bl w:val="nil"/>
            </w:tcBorders>
            <w:shd w:val="clear" w:color="auto" w:fill="FFFFFF"/>
            <w:tcMar>
              <w:left w:w="15" w:type="dxa"/>
              <w:right w:w="15" w:type="dxa"/>
            </w:tcMar>
            <w:vAlign w:val="center"/>
          </w:tcPr>
          <w:p>
            <w:pPr>
              <w:widowControl/>
              <w:jc w:val="center"/>
              <w:textAlignment w:val="center"/>
              <w:rPr>
                <w:rFonts w:ascii="黑体" w:hAnsi="Calibri" w:eastAsia="黑体" w:cs="黑体"/>
                <w:color w:val="000000"/>
                <w:kern w:val="0"/>
                <w:sz w:val="24"/>
              </w:rPr>
            </w:pPr>
            <w:r>
              <w:rPr>
                <w:rFonts w:hint="eastAsia" w:ascii="黑体" w:hAnsi="Calibri" w:eastAsia="黑体" w:cs="黑体"/>
                <w:color w:val="000000"/>
                <w:kern w:val="0"/>
                <w:sz w:val="24"/>
              </w:rPr>
              <w:t>行政</w:t>
            </w:r>
          </w:p>
          <w:p>
            <w:pPr>
              <w:widowControl/>
              <w:jc w:val="center"/>
              <w:textAlignment w:val="center"/>
              <w:rPr>
                <w:rFonts w:ascii="黑体" w:hAnsi="Calibri" w:eastAsia="黑体" w:cs="黑体"/>
                <w:color w:val="000000"/>
                <w:kern w:val="0"/>
                <w:sz w:val="24"/>
              </w:rPr>
            </w:pPr>
            <w:r>
              <w:rPr>
                <w:rFonts w:hint="eastAsia" w:ascii="黑体" w:hAnsi="Calibri" w:eastAsia="黑体" w:cs="黑体"/>
                <w:color w:val="000000"/>
                <w:kern w:val="0"/>
                <w:sz w:val="24"/>
              </w:rPr>
              <w:t>法规</w:t>
            </w:r>
          </w:p>
        </w:tc>
        <w:tc>
          <w:tcPr>
            <w:tcW w:w="863" w:type="dxa"/>
            <w:tcBorders>
              <w:tl2br w:val="nil"/>
              <w:tr2bl w:val="nil"/>
            </w:tcBorders>
            <w:shd w:val="clear" w:color="auto" w:fill="FFFFFF"/>
            <w:tcMar>
              <w:left w:w="15" w:type="dxa"/>
              <w:right w:w="15" w:type="dxa"/>
            </w:tcMar>
            <w:vAlign w:val="center"/>
          </w:tcPr>
          <w:p>
            <w:pPr>
              <w:widowControl/>
              <w:jc w:val="center"/>
              <w:textAlignment w:val="center"/>
              <w:rPr>
                <w:rFonts w:ascii="黑体" w:hAnsi="Calibri" w:eastAsia="黑体" w:cs="黑体"/>
                <w:color w:val="000000"/>
                <w:kern w:val="0"/>
                <w:sz w:val="24"/>
              </w:rPr>
            </w:pPr>
            <w:r>
              <w:rPr>
                <w:rFonts w:hint="eastAsia" w:ascii="黑体" w:hAnsi="Calibri" w:eastAsia="黑体" w:cs="黑体"/>
                <w:color w:val="000000"/>
                <w:kern w:val="0"/>
                <w:sz w:val="24"/>
              </w:rPr>
              <w:t>地方性法规</w:t>
            </w:r>
          </w:p>
        </w:tc>
        <w:tc>
          <w:tcPr>
            <w:tcW w:w="863" w:type="dxa"/>
            <w:tcBorders>
              <w:tl2br w:val="nil"/>
              <w:tr2bl w:val="nil"/>
            </w:tcBorders>
            <w:shd w:val="clear" w:color="auto" w:fill="FFFFFF"/>
            <w:tcMar>
              <w:left w:w="15" w:type="dxa"/>
              <w:right w:w="15" w:type="dxa"/>
            </w:tcMar>
            <w:vAlign w:val="center"/>
          </w:tcPr>
          <w:p>
            <w:pPr>
              <w:widowControl/>
              <w:jc w:val="center"/>
              <w:textAlignment w:val="center"/>
              <w:rPr>
                <w:rFonts w:ascii="黑体" w:hAnsi="Calibri" w:eastAsia="黑体" w:cs="黑体"/>
                <w:color w:val="000000"/>
                <w:kern w:val="0"/>
                <w:sz w:val="24"/>
              </w:rPr>
            </w:pPr>
            <w:r>
              <w:rPr>
                <w:rFonts w:hint="eastAsia" w:ascii="黑体" w:hAnsi="Calibri" w:eastAsia="黑体" w:cs="黑体"/>
                <w:color w:val="000000"/>
                <w:kern w:val="0"/>
                <w:sz w:val="24"/>
              </w:rPr>
              <w:t>部委规章</w:t>
            </w:r>
          </w:p>
        </w:tc>
        <w:tc>
          <w:tcPr>
            <w:tcW w:w="863" w:type="dxa"/>
            <w:tcBorders>
              <w:tl2br w:val="nil"/>
              <w:tr2bl w:val="nil"/>
            </w:tcBorders>
            <w:shd w:val="clear" w:color="auto" w:fill="FFFFFF"/>
            <w:tcMar>
              <w:left w:w="15" w:type="dxa"/>
              <w:right w:w="15" w:type="dxa"/>
            </w:tcMar>
            <w:vAlign w:val="center"/>
          </w:tcPr>
          <w:p>
            <w:pPr>
              <w:widowControl/>
              <w:jc w:val="center"/>
              <w:textAlignment w:val="center"/>
              <w:rPr>
                <w:rFonts w:ascii="黑体" w:hAnsi="Calibri" w:eastAsia="黑体" w:cs="黑体"/>
                <w:color w:val="000000"/>
                <w:kern w:val="0"/>
                <w:sz w:val="24"/>
              </w:rPr>
            </w:pPr>
            <w:r>
              <w:rPr>
                <w:rFonts w:hint="eastAsia" w:ascii="黑体" w:hAnsi="Calibri" w:eastAsia="黑体" w:cs="黑体"/>
                <w:color w:val="000000"/>
                <w:kern w:val="0"/>
                <w:sz w:val="24"/>
              </w:rPr>
              <w:t>政府规章</w:t>
            </w:r>
          </w:p>
        </w:tc>
        <w:tc>
          <w:tcPr>
            <w:tcW w:w="868" w:type="dxa"/>
            <w:tcBorders>
              <w:tl2br w:val="nil"/>
              <w:tr2bl w:val="nil"/>
            </w:tcBorders>
            <w:shd w:val="clear" w:color="auto" w:fill="FFFFFF"/>
            <w:tcMar>
              <w:left w:w="15" w:type="dxa"/>
              <w:right w:w="15" w:type="dxa"/>
            </w:tcMar>
            <w:vAlign w:val="center"/>
          </w:tcPr>
          <w:p>
            <w:pPr>
              <w:widowControl/>
              <w:jc w:val="center"/>
              <w:textAlignment w:val="center"/>
              <w:rPr>
                <w:rFonts w:ascii="黑体" w:hAnsi="Calibri" w:eastAsia="黑体" w:cs="黑体"/>
                <w:color w:val="000000"/>
                <w:kern w:val="0"/>
                <w:sz w:val="24"/>
              </w:rPr>
            </w:pPr>
            <w:r>
              <w:rPr>
                <w:rFonts w:hint="eastAsia" w:ascii="黑体" w:hAnsi="Calibri" w:eastAsia="黑体" w:cs="黑体"/>
                <w:color w:val="000000"/>
                <w:kern w:val="0"/>
                <w:sz w:val="24"/>
              </w:rPr>
              <w:t>规范性文件</w:t>
            </w:r>
          </w:p>
        </w:tc>
        <w:tc>
          <w:tcPr>
            <w:tcW w:w="985" w:type="dxa"/>
            <w:vMerge w:val="continue"/>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606"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法定时限</w:t>
            </w:r>
          </w:p>
        </w:tc>
        <w:tc>
          <w:tcPr>
            <w:tcW w:w="615"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承诺时限</w:t>
            </w:r>
          </w:p>
        </w:tc>
        <w:tc>
          <w:tcPr>
            <w:tcW w:w="885" w:type="dxa"/>
            <w:vMerge w:val="continue"/>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1185" w:type="dxa"/>
            <w:vMerge w:val="continue"/>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3" w:hRule="atLeast"/>
          <w:jc w:val="center"/>
        </w:trPr>
        <w:tc>
          <w:tcPr>
            <w:tcW w:w="679" w:type="dxa"/>
            <w:tcBorders>
              <w:tl2br w:val="nil"/>
              <w:tr2bl w:val="nil"/>
            </w:tcBorders>
            <w:shd w:val="clear" w:color="auto" w:fill="auto"/>
            <w:tcMar>
              <w:left w:w="15" w:type="dxa"/>
              <w:right w:w="15"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color w:val="000000"/>
                <w:kern w:val="0"/>
                <w:sz w:val="22"/>
                <w:szCs w:val="22"/>
              </w:rPr>
              <w:t>1</w:t>
            </w:r>
          </w:p>
        </w:tc>
        <w:tc>
          <w:tcPr>
            <w:tcW w:w="1810" w:type="dxa"/>
            <w:tcBorders>
              <w:tl2br w:val="nil"/>
              <w:tr2bl w:val="nil"/>
            </w:tcBorders>
            <w:shd w:val="clear" w:color="auto" w:fill="FFFFFF"/>
            <w:tcMar>
              <w:left w:w="15" w:type="dxa"/>
              <w:right w:w="15" w:type="dxa"/>
            </w:tcMar>
            <w:vAlign w:val="center"/>
          </w:tcPr>
          <w:p>
            <w:pPr>
              <w:widowControl/>
              <w:jc w:val="center"/>
              <w:textAlignment w:val="center"/>
              <w:rPr>
                <w:rFonts w:ascii="宋体" w:hAnsi="宋体" w:eastAsia="宋体" w:cs="宋体"/>
                <w:color w:val="000000"/>
                <w:sz w:val="16"/>
                <w:szCs w:val="16"/>
              </w:rPr>
            </w:pPr>
            <w:r>
              <w:rPr>
                <w:rFonts w:hint="eastAsia" w:ascii="仿宋" w:hAnsi="仿宋" w:eastAsia="仿宋" w:cs="仿宋"/>
                <w:color w:val="000000"/>
                <w:kern w:val="0"/>
                <w:szCs w:val="21"/>
              </w:rPr>
              <w:t>对没有取得律师执业证书以律师名义从事法律服务业务人员的处罚</w:t>
            </w:r>
          </w:p>
        </w:tc>
        <w:tc>
          <w:tcPr>
            <w:tcW w:w="1073"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行政处罚</w:t>
            </w:r>
          </w:p>
        </w:tc>
        <w:tc>
          <w:tcPr>
            <w:tcW w:w="1092"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公共法律服务股</w:t>
            </w:r>
          </w:p>
        </w:tc>
        <w:tc>
          <w:tcPr>
            <w:tcW w:w="5183" w:type="dxa"/>
            <w:gridSpan w:val="6"/>
            <w:tcBorders>
              <w:tl2br w:val="nil"/>
              <w:tr2bl w:val="nil"/>
            </w:tcBorders>
            <w:shd w:val="clear" w:color="auto" w:fill="FFFFFF"/>
            <w:tcMar>
              <w:left w:w="15" w:type="dxa"/>
              <w:right w:w="15" w:type="dxa"/>
            </w:tcMar>
            <w:vAlign w:val="center"/>
          </w:tcPr>
          <w:p>
            <w:pPr>
              <w:widowControl/>
              <w:shd w:val="clear" w:color="auto" w:fill="FFFFFF"/>
              <w:spacing w:line="30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【法律】《中华人民共和国律师法》</w:t>
            </w:r>
            <w:r>
              <w:rPr>
                <w:rFonts w:hint="eastAsia" w:ascii="仿宋" w:hAnsi="仿宋" w:eastAsia="仿宋" w:cs="仿宋"/>
                <w:color w:val="000000" w:themeColor="text1"/>
                <w:kern w:val="0"/>
                <w:szCs w:val="21"/>
              </w:rPr>
              <w:t>（主席令第64号）</w:t>
            </w:r>
          </w:p>
          <w:p>
            <w:pPr>
              <w:widowControl/>
              <w:shd w:val="clear" w:color="auto" w:fill="FFFFFF"/>
              <w:spacing w:line="300" w:lineRule="exact"/>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第五十五条</w:t>
            </w:r>
            <w:r>
              <w:rPr>
                <w:rFonts w:hint="eastAsia" w:ascii="仿宋" w:hAnsi="仿宋" w:eastAsia="仿宋" w:cs="仿宋"/>
                <w:color w:val="000000"/>
                <w:kern w:val="0"/>
                <w:szCs w:val="21"/>
                <w:lang w:val="en-US" w:eastAsia="zh-CN"/>
              </w:rPr>
              <w:t xml:space="preserve"> </w:t>
            </w:r>
            <w:r>
              <w:rPr>
                <w:rFonts w:ascii="仿宋" w:hAnsi="仿宋" w:eastAsia="仿宋" w:cs="仿宋"/>
                <w:color w:val="000000"/>
                <w:kern w:val="0"/>
                <w:szCs w:val="21"/>
              </w:rPr>
              <w:t>没有取得律师执业证书的人员以律师名义从事法律服务业务的，由所在地的县级以上地方人民政府司法行政部门责令停止非法执业，没收违法所得，处违法所得一倍以上五倍以下的罚款。</w:t>
            </w:r>
          </w:p>
          <w:p>
            <w:pPr>
              <w:widowControl/>
              <w:ind w:firstLine="210" w:firstLineChars="100"/>
              <w:jc w:val="left"/>
              <w:textAlignment w:val="center"/>
              <w:rPr>
                <w:rFonts w:ascii="仿宋" w:hAnsi="仿宋" w:eastAsia="仿宋" w:cs="仿宋"/>
                <w:color w:val="000000"/>
                <w:kern w:val="0"/>
                <w:szCs w:val="21"/>
              </w:rPr>
            </w:pPr>
          </w:p>
        </w:tc>
        <w:tc>
          <w:tcPr>
            <w:tcW w:w="985"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没有取得律师执业证书以律师名义从事法律服务业务的人员</w:t>
            </w:r>
          </w:p>
        </w:tc>
        <w:tc>
          <w:tcPr>
            <w:tcW w:w="606"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shd w:val="clear" w:color="auto" w:fill="FFFFFF"/>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sz w:val="22"/>
                <w:szCs w:val="22"/>
              </w:rPr>
            </w:pPr>
            <w:r>
              <w:rPr>
                <w:rFonts w:hint="eastAsia" w:ascii="仿宋" w:hAnsi="仿宋" w:eastAsia="仿宋" w:cs="仿宋"/>
                <w:sz w:val="22"/>
                <w:szCs w:val="22"/>
              </w:rPr>
              <w:t>2</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szCs w:val="21"/>
              </w:rPr>
            </w:pPr>
            <w:r>
              <w:rPr>
                <w:rFonts w:hint="eastAsia" w:ascii="仿宋" w:hAnsi="仿宋" w:eastAsia="仿宋" w:cs="仿宋"/>
                <w:color w:val="000000"/>
                <w:kern w:val="0"/>
                <w:szCs w:val="21"/>
              </w:rPr>
              <w:t>对基层法律服务所违法违规行为的处罚</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行政处罚</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公共法律服务股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【部门规章】《基层法律服务所管理办法》（2000年3月30日司法部令第59号公布，根据2017年12月25日司法部令第137号修订） </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第三十六条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（一）超越业务范围和诉讼代理执业区域的；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（二）违反规定不以基层法律服务所名义统一接受委托、统一收取服务费，不向委托人出具有效收费凭证的；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（三）冒用律师事务所名义执业的；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（四）以贬损他人、抬高自己、虚假承诺或者支付介绍费等不正当手段争揽业务的；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（五）伪造、涂改、抵押、出租、出借本所执业证的；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（六）违反规定变更本所名称、法定代表人或者负责人、合伙人、住所和章程的；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（七）不按规定接受年度考核，或者在年度考核中弄虚作假的；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（八）违反财务管理规定，私分、挪用或者以其他方式非法处置本所资产的；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（九）聘用未获准基层法律服务工作者执业的人员以基层法律服务工作者名义承办业务的；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（十）放纵、包庇本所基层法律服务工作者的违法违纪行为的；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（十一）内部管理混乱，无法正常开展业务的；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（十二）法律、法规、规章规定应予处罚的其他行为。</w:t>
            </w:r>
          </w:p>
          <w:p>
            <w:pPr>
              <w:widowControl/>
              <w:jc w:val="left"/>
              <w:textAlignment w:val="center"/>
              <w:rPr>
                <w:rFonts w:ascii="仿宋" w:hAnsi="仿宋" w:eastAsia="仿宋" w:cs="仿宋"/>
                <w:color w:val="000000"/>
                <w:kern w:val="0"/>
                <w:szCs w:val="21"/>
              </w:rPr>
            </w:pP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基层法律服务所</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3</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对基层法律服务工作者违法违规行为的处罚</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行政处罚</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公共法律服务股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【部门规章】《基层法律服务工作者管理办法》（2000年3月30日中华人民共和国司法部令第60号发布　根据2017年12月25日中华人民共和国司法部令第138号修订）</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   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（一）超越业务范围和诉讼代理执业区域的；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（二）以贬损他人、抬高自己、虚假承诺或者支付介绍费等不正当手段争揽业务的；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（三）曾担任法官的基层法律服务工作者，担任原任职法院办理案件的诉讼代理人的；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（四）冒用律师名义执业的；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（五）同时在基层法律服务所和律师事务所或者公证机构执业，或者同时在两个以上基层法律服务所执业的；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（六）无正当理由拒绝履行法律援助义务的；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（七）明知委托人的要求是非法的、欺诈性的，仍为其提供帮助的；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（八）在代理活动中超越代理权限或者滥用代理权，侵犯被代理人合法利益的；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（九）在同一诉讼、仲裁、行政裁决中，为双方当事人或者有利害关系的第三人代理的；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（十）不遵守与当事人订立的委托合同，拒绝或者疏怠履行法律服务义务，损害委托人合法权益的；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（十一）在调解、代理、法律顾问等执业活动中压制、侮辱、报复当事人，造成恶劣影响的；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（十二）不按规定接受年度考核，或者在年度考核中弄虚作假的；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（十三）泄露在执业活动中知悉的商业秘密或者个人隐私的；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（十四）以影响案件审判、仲裁或者行政裁定结果为目的，违反规定会见有关司法、仲裁或者行政执法人员，或者向其请客送礼的；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（十五）私自接受委托承办法律事务，或者私自收取费用，或者向委托人索要额外报酬的；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（十六）在代理活动中收受对方当事人、利害关系人财物或者与其恶意串通，损害委托人合法权益的；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（十七）违反司法、仲裁、行政执法工作有关制度规定，干扰或者阻碍司法、仲裁、行政执法工作正常进行的；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（十八）泄露在执业活动中知悉的国家秘密的；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（十九）伪造、隐匿、毁灭证据或者故意协助委托人伪造、隐匿、毁灭证据的；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（二十）向有关司法人员、仲裁员或者行政执法人员行贿、介绍贿赂，或者指使、诱导委托人向其行贿的；</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（二十一）法律、法规、规章规定应予处罚的其他行为。</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司法行政机关对基层法律服务工作者实施上述行政处罚的同时，应当责令其改正。</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基层法律服务工作者</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4</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法律援助</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行政给付</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县法律援助中心</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【行政法规】《中华人民共和国法律援助条例》（国务院令第385号）</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第五条第二款法律援助机构负责受理、审查法律援助申请，指派或者安排人员为符合本条例规定的公民提供法律援助。</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【地方性法规】《山西省法律援助条例》（2003年11月30日山西省第十届人民代表大会常务委员会第七次会议通过 2015年11月26日山西省第十二届人民代表大会常务委员会第二十三次会议修订）　　</w:t>
            </w:r>
          </w:p>
          <w:p>
            <w:pPr>
              <w:widowControl/>
              <w:ind w:firstLine="420" w:firstLineChars="200"/>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第二条 县级以上人民政府应当设立法律援助机构。 法律援助机构应当组织法律服务机构和法律服务人员，为符合本条例规定的公民提供无偿法律服务。</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公民</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5</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对在法律</w:t>
            </w:r>
          </w:p>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援助工作中作出突出贡献的组织和个人进行表彰奖励</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行政奖励</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县法律援助中心</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【行政法规】《中华人民共和国法律援助条例》（国务院令第385号）</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    第九条 对在法律援助工作中作出突出贡献的组织和个人，有关的人民政府、司法行政部门应当给予表彰、奖励。</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有关组织、个人等</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6</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对人民调解委员会和调解员进行表彰奖励</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行政奖励</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基层工作管理股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【法律】《中华人民共和国人民调解法》（中华人民共和国主席令第34号）</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第六条国家鼓励和支持人民调解工作。县级以上地方人民政府对人民调解工作所需经费应当给予必要的支持和保障，对有突出贡献的人民调解委员会和人民调解员按照国家规定给予表彰奖励。</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【部门规章】《人民调解委员会及调解员奖励办法》（1991年司法部令第15号）</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第七条奖励的审批权限</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模范人民调解委员会和模范人民调节员以及集体和个人的命名表彰，由司法部批准。</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优秀人民调解委员会和优秀人民调解员由省、自治区、直辖市司法厅（局）批准。</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地（市）、县级司法局（处）表彰的统称先进人民调解委员会和先进人民调解员，分别由地（市）、县级司法局（处）批准。</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人民调解委员会和人民调解员</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7</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对基层法律服务所、基层法律服务工作者进行表彰奖励</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行政奖励</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基层工作管理股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【部门规章】《基层法律服务所管理办法》（2000年3月30日司法部令第59号公布，根据2017年12月25日司法部令第137号修订） </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第三十五条 司法行政机关对工作成绩显著、队伍建设良好、管理制度完善的基层法律服务所，按照有关规定给予表彰奖励。</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【部门规章】《基层法律服务工作者管理办法》（2000年3月30日中华人民共和国司法部令第60号发布　根据2017年12月25日中华人民共和国司法部令第138号修订）</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    第二十一条  基层法律服务所对年度考核被评为优秀或者在平时执业中有突出事迹或者显著贡献的基层法律服务工作者，应当给予奖励。</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对事迹特别突出的，可以报请有关司法行政机关给予表彰。</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基层法律服务所和基层法律服务工作者</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8</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对律师事务所、律师进行表彰奖励</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行政奖励</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公共法律服务股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【部门规章】《律师事务所管理办法》（司法部令第133号）</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    第六条 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【部门规章】《律师执业管理办法》（司法部令第134号）</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    第五条 司法行政机关、律师协会应当建立健全律师表彰奖励制度，根据有关规定设立综合性和单项表彰项目，对为维护人民群众合法权益、促进经济社会发展和国家法治建设作出突出贡献的律师进行表彰奖励。</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律师事务所、律师</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9</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对基层法律服务工作者执业情况的行政检查</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行政检查</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公共法律服务股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【部门规章】《基层法律服务工作者管理办法》（2000年3月30日中华人民共和国司法部令第60号发布　根据2017年12月25日中华人民共和国司法部令第138号修订）</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四十四条县级司法行政机关或者直辖市的区（县）司法行政机关对基层法律服务工作者的日常执业活动和遵守职业道德、执业纪律的情况进行指导和监督，可以按照有关规定对基层法律服务工作者的执业情况进行检查，要求有关人员报告工作、说明情况、提交有关材料。司法所可以根据县级司法行政机关或者直辖市的区（县）司法行政机关要求，承担对基层法律服务工作者进行指导监督的具体工作。</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基层法律服务工作者</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10</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对基层法律服务所日常执业和内部管理情况的行政检查</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行政检查</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公共法律服务股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【部门规章】《基层法律服务所管理办法》（2000年3月30日司法部令第59号公布，根据2017年12月25日司法部令第137号修订）</w:t>
            </w:r>
          </w:p>
          <w:p>
            <w:pPr>
              <w:widowControl/>
              <w:ind w:firstLine="420" w:firstLineChars="200"/>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第三十四条 </w:t>
            </w:r>
            <w:r>
              <w:rPr>
                <w:rFonts w:hint="eastAsia" w:ascii="仿宋" w:hAnsi="仿宋" w:eastAsia="仿宋" w:cs="仿宋"/>
                <w:color w:val="000000"/>
                <w:kern w:val="0"/>
                <w:szCs w:val="21"/>
              </w:rPr>
              <w:tab/>
            </w:r>
            <w:r>
              <w:rPr>
                <w:rFonts w:hint="eastAsia" w:ascii="仿宋" w:hAnsi="仿宋" w:eastAsia="仿宋" w:cs="仿宋"/>
                <w:color w:val="000000"/>
                <w:kern w:val="0"/>
                <w:szCs w:val="21"/>
              </w:rPr>
              <w:t>县级司法行政机关或者直辖市的区（县）司法行政机关对基层法律服务所的日常执业活动和内部管理工作进行指导和监督，可以按照有关规定对基层法律服务所进行检查，要求基层法律服务所报告工作、说明情况、提交有关材料。司法所可以根据县级司法行政机关或者直辖市的区（县）司法行政机关要求，承担对基层法律服务所进行指导监督的具体工作。</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基层法律服务所</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jc w:val="center"/>
        </w:trPr>
        <w:tc>
          <w:tcPr>
            <w:tcW w:w="679"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11</w:t>
            </w:r>
          </w:p>
        </w:tc>
        <w:tc>
          <w:tcPr>
            <w:tcW w:w="1810"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对律师和律师事务所的行政检查</w:t>
            </w:r>
          </w:p>
        </w:tc>
        <w:tc>
          <w:tcPr>
            <w:tcW w:w="1073"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行政检查</w:t>
            </w:r>
          </w:p>
        </w:tc>
        <w:tc>
          <w:tcPr>
            <w:tcW w:w="1092"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司法局</w:t>
            </w:r>
          </w:p>
        </w:tc>
        <w:tc>
          <w:tcPr>
            <w:tcW w:w="1417"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公共法律服务股</w:t>
            </w:r>
          </w:p>
        </w:tc>
        <w:tc>
          <w:tcPr>
            <w:tcW w:w="5183" w:type="dxa"/>
            <w:gridSpan w:val="6"/>
            <w:tcBorders>
              <w:tl2br w:val="nil"/>
              <w:tr2bl w:val="nil"/>
            </w:tcBorders>
            <w:tcMar>
              <w:left w:w="15" w:type="dxa"/>
              <w:right w:w="15" w:type="dxa"/>
            </w:tcMar>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【法律】《中华人民共和国律师法》（主席令第64号 ）</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第四条 司法行政部门依照本法对律师、律师事务所和律师协会进行监督、指导。</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五十二条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w:t>
            </w:r>
            <w:r>
              <w:rPr>
                <w:rFonts w:ascii="仿宋" w:hAnsi="仿宋" w:eastAsia="仿宋" w:cs="仿宋"/>
                <w:color w:val="000000"/>
                <w:kern w:val="0"/>
                <w:szCs w:val="21"/>
              </w:rPr>
              <w:t>《律师事务所管理办法》（司法部令第125号修正）</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第四条 省、自治区、直辖市司法行政机关负责指导、监督本行政区域律师事务所的年度检查考核工作。</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    设区的市级或者直辖市区(县)司法行政机关负责组织实施对本行政区域内律师事务所的年度检查考核工作。</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县级司法行政机关负责年度检查考核的初审工作。</w:t>
            </w:r>
          </w:p>
          <w:p>
            <w:pPr>
              <w:widowControl/>
              <w:ind w:firstLine="420" w:firstLineChars="200"/>
              <w:jc w:val="left"/>
              <w:textAlignment w:val="center"/>
              <w:rPr>
                <w:rFonts w:ascii="仿宋" w:hAnsi="仿宋" w:eastAsia="仿宋" w:cs="仿宋"/>
                <w:color w:val="000000"/>
                <w:kern w:val="0"/>
                <w:szCs w:val="21"/>
              </w:rPr>
            </w:pPr>
            <w:r>
              <w:rPr>
                <w:rFonts w:ascii="仿宋" w:hAnsi="仿宋" w:eastAsia="仿宋" w:cs="仿宋"/>
                <w:color w:val="000000"/>
                <w:kern w:val="0"/>
                <w:szCs w:val="21"/>
              </w:rPr>
              <w:t>第六十四条 县级司法行政机关对本行政区域内的律师事务所的执业活动进行日常监督管理，履行下列职责：</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（一）监督律师事务所在开展业务活动过程中遵守法律、法规、规章的情况；</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（二）监督律师事务所执业和内部管理制度的建立和实施情况；</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（三）监督律师事务所保持法定设立条件以及变更报批或者备案的执行情况；</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（四）监督律师事务所进行清算、申请注销的情况；</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（五）监督律师事务所开展律师执业年度考核和上报年度执业总结的情况；</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（六）受理对律师事务所的举报和投诉；</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（七）监督律师事务所履行行政处罚和实行整改的情况；</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（八）司法部和省、自治区、直辖市司法行政机关规定的其他职责。</w:t>
            </w:r>
          </w:p>
          <w:p>
            <w:pPr>
              <w:widowControl/>
              <w:jc w:val="left"/>
              <w:textAlignment w:val="center"/>
              <w:rPr>
                <w:rFonts w:ascii="仿宋" w:hAnsi="仿宋" w:eastAsia="仿宋" w:cs="仿宋"/>
                <w:color w:val="000000"/>
                <w:kern w:val="0"/>
                <w:szCs w:val="21"/>
              </w:rPr>
            </w:pPr>
            <w:r>
              <w:rPr>
                <w:rFonts w:ascii="仿宋" w:hAnsi="仿宋" w:eastAsia="仿宋" w:cs="仿宋"/>
                <w:color w:val="000000"/>
                <w:kern w:val="0"/>
                <w:szCs w:val="21"/>
              </w:rPr>
              <w:t>县级司法行政机关在开展日常监督管理过程中，对发现、查实的律师事务所在执业和内部管理方面存在的问题，应当对律师事务所负责人或者有关律师进行警示谈话，责令改正，并对其整改情况进行监督；对律师事务所的违法行为认为依法应当给予行政处罚的，应当向上一级司法行政机关提出处罚建议；认为需要给予行业惩戒的，移送律师协会处理。</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【部门规章】</w:t>
            </w:r>
            <w:r>
              <w:rPr>
                <w:rFonts w:ascii="仿宋" w:hAnsi="仿宋" w:eastAsia="仿宋" w:cs="仿宋"/>
                <w:color w:val="000000"/>
                <w:kern w:val="0"/>
                <w:szCs w:val="21"/>
              </w:rPr>
              <w:t>《律师执业管理办法》（2008年7月18日司法部令第112号发布　2016年9月18日司法部令第134号修订）</w:t>
            </w:r>
          </w:p>
          <w:p>
            <w:pPr>
              <w:widowControl/>
              <w:ind w:firstLine="420" w:firstLineChars="200"/>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第五十条　县级司法行政机关对其执业机构在本行政区域的律师的执业活动进行日常监督管理，履行下列职责：</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（一）检查、监督律师在执业活动中遵守法律、法规、规章和职业道德、执业纪律的情况；</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（二）受理对律师的举报和投诉；</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（三）监督律师履行行政处罚和实行整改的情况；</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（四）掌握律师事务所对律师执业年度考核的情况；</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（五）司法部和省、自治区、直辖市司法行政机关规定的其他职责。</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县级司法行政机关在开展日常监督管理过程中，发现、查实律师在执业活动中存在问题的，应当对其进行警示谈话，责令改正，并对其整改情况进行监督；对律师的违法行为认为依法应当给予行政处罚的，应当向上一级司法行政机关提出处罚建议；认为需要给予行业惩戒的，移送律师协会处理。</w:t>
            </w:r>
          </w:p>
        </w:tc>
        <w:tc>
          <w:tcPr>
            <w:tcW w:w="985" w:type="dxa"/>
            <w:tcBorders>
              <w:tl2br w:val="nil"/>
              <w:tr2bl w:val="nil"/>
            </w:tcBorders>
            <w:tcMar>
              <w:left w:w="15" w:type="dxa"/>
              <w:right w:w="15" w:type="dxa"/>
            </w:tcMar>
            <w:vAlign w:val="center"/>
          </w:tcPr>
          <w:p>
            <w:pPr>
              <w:widowControl/>
              <w:spacing w:line="24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律师</w:t>
            </w:r>
          </w:p>
        </w:tc>
        <w:tc>
          <w:tcPr>
            <w:tcW w:w="606"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无</w:t>
            </w:r>
          </w:p>
        </w:tc>
        <w:tc>
          <w:tcPr>
            <w:tcW w:w="61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p>
        </w:tc>
        <w:tc>
          <w:tcPr>
            <w:tcW w:w="885" w:type="dxa"/>
            <w:tcBorders>
              <w:tl2br w:val="nil"/>
              <w:tr2bl w:val="nil"/>
            </w:tcBorders>
            <w:tcMar>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不收费</w:t>
            </w:r>
          </w:p>
        </w:tc>
        <w:tc>
          <w:tcPr>
            <w:tcW w:w="1185" w:type="dxa"/>
            <w:tcBorders>
              <w:tl2br w:val="nil"/>
              <w:tr2bl w:val="nil"/>
            </w:tcBorders>
            <w:tcMar>
              <w:left w:w="15" w:type="dxa"/>
              <w:right w:w="15" w:type="dxa"/>
            </w:tcMar>
            <w:vAlign w:val="center"/>
          </w:tcPr>
          <w:p>
            <w:pPr>
              <w:widowControl/>
              <w:jc w:val="center"/>
              <w:textAlignment w:val="center"/>
              <w:rPr>
                <w:rFonts w:ascii="宋体" w:hAnsi="宋体" w:eastAsia="宋体" w:cs="宋体"/>
                <w:color w:val="000000"/>
                <w:kern w:val="0"/>
                <w:sz w:val="18"/>
                <w:szCs w:val="18"/>
              </w:rPr>
            </w:pPr>
          </w:p>
        </w:tc>
      </w:tr>
    </w:tbl>
    <w:p>
      <w:pPr>
        <w:jc w:val="left"/>
        <w:rPr>
          <w:rFonts w:ascii="方正小标宋简体" w:hAnsi="方正小标宋简体" w:eastAsia="方正小标宋简体" w:cs="方正小标宋简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5A64EE8"/>
    <w:rsid w:val="004F2499"/>
    <w:rsid w:val="00727670"/>
    <w:rsid w:val="00D53324"/>
    <w:rsid w:val="00ED289F"/>
    <w:rsid w:val="15481709"/>
    <w:rsid w:val="17D061A9"/>
    <w:rsid w:val="3FDC6932"/>
    <w:rsid w:val="4638663B"/>
    <w:rsid w:val="4C2D27DF"/>
    <w:rsid w:val="51175F94"/>
    <w:rsid w:val="51FC72C4"/>
    <w:rsid w:val="5BDD2ABA"/>
    <w:rsid w:val="63E74009"/>
    <w:rsid w:val="65A64EE8"/>
    <w:rsid w:val="6C411A0D"/>
    <w:rsid w:val="72E75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7</Company>
  <Pages>11</Pages>
  <Words>917</Words>
  <Characters>5227</Characters>
  <Lines>43</Lines>
  <Paragraphs>12</Paragraphs>
  <TotalTime>10</TotalTime>
  <ScaleCrop>false</ScaleCrop>
  <LinksUpToDate>false</LinksUpToDate>
  <CharactersWithSpaces>6132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2020-11-06T06:32:00Z</dcterms:created>
  <dc:creator>七秒钟记住谁</dc:creator>
  <cp:lastModifiedBy>一米阳光</cp:lastModifiedBy>
  <cp:lastPrinted>2020-11-17T07:34:00Z</cp:lastPrinted>
  <dcterms:modified xsi:type="dcterms:W3CDTF">2021-08-20T11:32:13Z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2164976F2D7A484293598F01C0A009A3</vt:lpwstr>
  </property>
</Properties>
</file>