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b/>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center"/>
        <w:rPr>
          <w:rFonts w:hint="eastAsia" w:ascii="华文新魏" w:hAnsi="方正小标宋简体" w:eastAsia="华文新魏" w:cs="方正小标宋简体"/>
          <w:b/>
          <w:bCs/>
          <w:sz w:val="44"/>
          <w:szCs w:val="44"/>
        </w:rPr>
      </w:pPr>
      <w:r>
        <w:rPr>
          <w:rFonts w:hint="eastAsia" w:ascii="华文新魏" w:hAnsi="方正小标宋简体" w:eastAsia="华文新魏" w:cs="方正小标宋简体"/>
          <w:b/>
          <w:bCs/>
          <w:color w:val="000000"/>
          <w:kern w:val="0"/>
          <w:sz w:val="44"/>
          <w:szCs w:val="44"/>
        </w:rPr>
        <w:t>对没有取得律师执业证书以律师名义从事法律服务业务人员的处罚</w:t>
      </w:r>
      <w:r>
        <w:rPr>
          <w:rFonts w:hint="eastAsia" w:ascii="华文新魏" w:hAnsi="方正小标宋简体" w:eastAsia="华文新魏" w:cs="方正小标宋简体"/>
          <w:b/>
          <w:bCs/>
          <w:sz w:val="44"/>
          <w:szCs w:val="44"/>
        </w:rPr>
        <w:t>服务指南</w:t>
      </w: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color w:val="333333"/>
          <w:sz w:val="32"/>
          <w:szCs w:val="32"/>
        </w:rPr>
        <w:t>0600-B-00100-140524</w:t>
      </w:r>
      <w:bookmarkStart w:id="0" w:name="_GoBack"/>
      <w:bookmarkEnd w:id="0"/>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陵川县司法局公共法律服务股</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对没有取得律师执业证书以律师名义从事法律服务业务人员</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法律】《中华人民共和国律师法》（主席令第64号）第五十五条没有取得律师执业证书的人员以律师名义从事法律服务业务的，由所在地的县级以上地方人民政府司法行政部门责令停止非法执业，没收违法所得，处违法所得一倍以上五倍以下的罚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六、办理流程</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立案→调查取证→审查→告知→决定→送达→执行</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、收费依据及标准</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、结果送达</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rPr>
        <w:t>当面送达；邮寄送达。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、行政救济途径与方式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十、咨询方式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十一、监督投诉渠道</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、办理进程和结果查询</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华文新魏" w:hAnsi="仿宋_GB2312" w:eastAsia="华文新魏" w:cs="仿宋_GB2312"/>
          <w:b/>
          <w:color w:val="000000"/>
          <w:kern w:val="0"/>
          <w:sz w:val="44"/>
          <w:szCs w:val="44"/>
        </w:rPr>
      </w:pPr>
    </w:p>
    <w:p>
      <w:pPr>
        <w:keepNext w:val="0"/>
        <w:keepLines w:val="0"/>
        <w:pageBreakBefore w:val="0"/>
        <w:kinsoku/>
        <w:wordWrap/>
        <w:overflowPunct/>
        <w:topLinePunct w:val="0"/>
        <w:autoSpaceDE/>
        <w:autoSpaceDN/>
        <w:bidi w:val="0"/>
        <w:adjustRightInd/>
        <w:snapToGrid/>
        <w:spacing w:line="640" w:lineRule="exact"/>
        <w:jc w:val="center"/>
        <w:rPr>
          <w:rFonts w:hint="eastAsia" w:ascii="华文新魏" w:hAnsi="仿宋_GB2312" w:eastAsia="华文新魏" w:cs="仿宋_GB2312"/>
          <w:b/>
          <w:color w:val="000000"/>
          <w:kern w:val="0"/>
          <w:sz w:val="44"/>
          <w:szCs w:val="44"/>
        </w:rPr>
      </w:pPr>
      <w:r>
        <w:rPr>
          <w:rFonts w:hint="eastAsia" w:ascii="华文新魏" w:hAnsi="仿宋_GB2312" w:eastAsia="华文新魏" w:cs="仿宋_GB2312"/>
          <w:b/>
          <w:color w:val="000000"/>
          <w:kern w:val="0"/>
          <w:sz w:val="44"/>
          <w:szCs w:val="44"/>
        </w:rPr>
        <w:t>对基层法律服务所违法违规行为的处罚</w:t>
      </w:r>
    </w:p>
    <w:p>
      <w:pPr>
        <w:keepNext w:val="0"/>
        <w:keepLines w:val="0"/>
        <w:pageBreakBefore w:val="0"/>
        <w:kinsoku/>
        <w:wordWrap/>
        <w:overflowPunct/>
        <w:topLinePunct w:val="0"/>
        <w:autoSpaceDE/>
        <w:autoSpaceDN/>
        <w:bidi w:val="0"/>
        <w:adjustRightInd/>
        <w:snapToGrid/>
        <w:spacing w:line="640" w:lineRule="exact"/>
        <w:jc w:val="center"/>
        <w:rPr>
          <w:rFonts w:ascii="华文新魏" w:hAnsi="方正小标宋简体" w:eastAsia="华文新魏" w:cs="方正小标宋简体"/>
          <w:b/>
          <w:bCs/>
          <w:sz w:val="44"/>
          <w:szCs w:val="44"/>
        </w:rPr>
      </w:pPr>
      <w:r>
        <w:rPr>
          <w:rFonts w:hint="eastAsia" w:ascii="华文新魏" w:hAnsi="仿宋_GB2312" w:eastAsia="华文新魏" w:cs="仿宋_GB2312"/>
          <w:b/>
          <w:color w:val="000000"/>
          <w:kern w:val="0"/>
          <w:sz w:val="44"/>
          <w:szCs w:val="44"/>
        </w:rPr>
        <w:t>服务指南</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0600-B-00400-140524</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陵川县司法局基层工作管理股</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基层法律服务所</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【部门规章】《基层法律服务所管理办法》（2000年3月30日司法部令第59号公布，根据2017年12月25日司法部令第137号修订）第三十六条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（一）超越业务范围和诉讼代理执业区域的；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（二）违反规定不以基层法律服务所名义统一接受委托、统一收取服务费，不向委托人出具有效收费凭证的；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（三）冒用律师事务所名义执业的；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（四）以贬损他人、抬高自己、虚假承诺或者支付介绍费等不正当手段争揽业务的；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（五）伪造、涂改、抵押、出租、出借本所执业证的；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（六）违反规定变更本所名称、法定代表人或者负责人、合伙人、住所和章程的；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（七）不按规定接受年度考核，或者在年度考核中弄虚作假的；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（八）违反财务管理规定，私分、挪用或者以其他方式非法处置本所资产的；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（九）聘用未获准基层法律服务工作者执业的人员以基层法律服务工作者名义承办业务的；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（十）放纵、包庇本所基层法律服务工作者的违法违纪行为的；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（十一）内部管理混乱，无法正常开展业务的；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（十二）法律、法规、规章规定应予处罚的其他行为。</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六、办理流程</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color w:val="333333"/>
          <w:kern w:val="0"/>
          <w:sz w:val="32"/>
          <w:szCs w:val="32"/>
        </w:rPr>
        <w:t>立案→调查取证→审查→告之→决定→送达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七、收费依据及标准</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八、结果送达</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九、行政救济途径与方式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十、咨询方式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十一、监督投诉渠道</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十二、办理进程和结果查询</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对基层法律服务工作者违法违规行为的处罚服务指南</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0600-B-00500-140524</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陵川县司法局基层</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管理股</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基层法律服务者</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333333"/>
          <w:sz w:val="32"/>
          <w:szCs w:val="32"/>
        </w:rPr>
        <w:t>《基层法律服务工作者管理办法》（2017年司法部令第138号） 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 （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 （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 司法行政机关对基层法律服务工作者实施上述行政处罚的同时，应当责令其改正。</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六、办理流程</w:t>
      </w:r>
      <w:r>
        <w:rPr>
          <w:rFonts w:hint="eastAsia" w:ascii="仿宋_GB2312" w:hAnsi="仿宋_GB2312" w:eastAsia="仿宋_GB2312" w:cs="仿宋_GB2312"/>
          <w:color w:val="333333"/>
          <w:kern w:val="0"/>
          <w:sz w:val="32"/>
          <w:szCs w:val="32"/>
        </w:rPr>
        <w:br w:type="textWrapping"/>
      </w:r>
      <w:r>
        <w:rPr>
          <w:rFonts w:hint="eastAsia" w:ascii="仿宋_GB2312" w:hAnsi="仿宋_GB2312" w:eastAsia="仿宋_GB2312" w:cs="仿宋_GB2312"/>
          <w:color w:val="333333"/>
          <w:kern w:val="0"/>
          <w:sz w:val="32"/>
          <w:szCs w:val="32"/>
        </w:rPr>
        <w:t>立案→调查取证→审查→告之→决定→送达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七、办理时限</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法定15日，承诺15日</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八、收费依据及标准</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九、结果送达</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十、行政救济途径与方式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十一、咨询方式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十二、监督投诉渠道</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十三、办理进程和结果查询</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color w:val="000000"/>
          <w:kern w:val="0"/>
          <w:sz w:val="44"/>
          <w:szCs w:val="44"/>
        </w:rPr>
        <w:t>对公民法律援助申请的审批服务指南</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0600-E-00300-140524</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陵川县法律援助中心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行政奖励</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公民</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【行政法规】《中华人民共和国法律援助条例》（国务院令第385号）第五条第二款法律援助机构负责受理、审查法律援助申请，指派或者安排人员为符合本条例规定的公民提供法律援助。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【地方性法规】《山西省法律援助条例》（2003年11月30日山西省第十届人民代表大会常务委员会第七次会议通过 2015年11月26日山西省第十二届人民代表大会常务委员会第二十三次会议修订）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第二条 县级以上人民政府应当设立法律援助机构。 法律援助机构应当组织法律服务机构和法律服务人员，为符合本条例规定的公民提供无偿法律服务。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六、收费依据及标准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七、结果送达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八、行政救济途径与方式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九、咨询方式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十、监督投诉渠道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十一、办理进程和结果查询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color w:val="000000"/>
          <w:kern w:val="0"/>
          <w:sz w:val="44"/>
          <w:szCs w:val="44"/>
        </w:rPr>
        <w:t>对在法律援助工作中作出突出贡献的组织和个人进行表彰奖励服务指南</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0600-H-00100-140524</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陵川县法律援助中心</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行政奖励</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有关组织个人等</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【行政法规】《中华人民共和国法律援助条例》（国务院令第385号）第九条 对在法律援助工作中作出突出贡献的组织和个人，有关的人民政府、司法行政部门应当给予表彰、奖励。</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六、收费依据及标准</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七、结果送达</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八、行政救济途径与方式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九、咨询方式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十、监督投诉渠道</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十一、办理进程和结果查询</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电话：0356-6208049</w:t>
      </w: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color w:val="000000"/>
          <w:kern w:val="0"/>
          <w:sz w:val="44"/>
          <w:szCs w:val="44"/>
        </w:rPr>
        <w:t>对人民调解委员会和调解员进行表彰奖励服务指南</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0600-H-00300-140524</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陵川县司法局基层</w:t>
      </w:r>
      <w:r>
        <w:rPr>
          <w:rFonts w:hint="eastAsia" w:ascii="仿宋_GB2312" w:hAnsi="仿宋_GB2312" w:eastAsia="仿宋_GB2312" w:cs="仿宋_GB2312"/>
          <w:sz w:val="32"/>
          <w:szCs w:val="32"/>
          <w:lang w:eastAsia="zh-CN"/>
        </w:rPr>
        <w:t>工作管理</w:t>
      </w:r>
      <w:r>
        <w:rPr>
          <w:rFonts w:hint="eastAsia" w:ascii="仿宋_GB2312" w:hAnsi="仿宋_GB2312" w:eastAsia="仿宋_GB2312" w:cs="仿宋_GB2312"/>
          <w:sz w:val="32"/>
          <w:szCs w:val="32"/>
        </w:rPr>
        <w:t>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行政奖励</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人民调解委员会和人民调解员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【法律】《中华人民共和国人民调解法》（中华人民共和国主席令第34号）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第六条国家鼓励和支持人民调解工作。县级以上地方人民政府对人民调解工作所需经费应当给予必要的支持和保障，对有突出贡献的人民调解委员会和人民调解员按照国家规定给予表彰奖励。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【部门规章】《人民调解委员会及调解员奖励办法（1991年司法部令第15号）第七条奖励的审批权限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模范人民调解委员会和模范人民调节员以及集体和个人的命名表彰，由司法部批准。优秀人民调解委员会和优秀人民调解员由省、自治区、直辖市司法厅（局）批准。地（市）、县级司法局（处）表彰的统称先进人民调解委员会和先进人民调解员，分别由地（市）、县级司法局（处）批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六、收费依据及标准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七、结果送达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八、行政救济途径与方式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九、咨询方式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十、监督投诉渠道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十一、办理进程和结果查询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both"/>
        <w:rPr>
          <w:rFonts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color w:val="000000"/>
          <w:kern w:val="0"/>
          <w:sz w:val="44"/>
          <w:szCs w:val="44"/>
        </w:rPr>
        <w:t>对基层法律服务所、基层法律服务工作者进行表彰奖励服务指南</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0600-H-00200-140524</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rPr>
        <w:t>陵川县司法局基层工作管理股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行政奖励</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四、适用范围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基层法律服务所和基层法律服务工作者</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【部门规章】《基层法律服务所管理办法》（2000年3月30日司法部令第59号公布，根据2017年12月25日司法部令第137号修订）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第三十五条 司法行政机关对工作成绩显著、队伍建设良好、管理制度完善的基层法律服务所，按照有关规定给予表彰奖励。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【部门规章】《基层法律服务工作者管理办法》（2000年3月30日中华人民共和国司法部令第60号发布　根据2017年12月25日中华人民共和国司法部令第138号修订）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第二十一条  基层法律服务所对年度考核被评为优秀或者在平时执业中有突出事迹或者显著贡献的基层法律服务工作者，应当给予奖励。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对事迹特别突出的，可以报请有关司法行政机关给予表彰。</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六、收费依据及标准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七、结果送达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八、行政救济途径与方式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九、咨询方式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十、监督投诉渠道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十一、办理进程和结果查询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电话：0356-6208047</w:t>
      </w:r>
    </w:p>
    <w:p>
      <w:pPr>
        <w:keepNext w:val="0"/>
        <w:keepLines w:val="0"/>
        <w:pageBreakBefore w:val="0"/>
        <w:widowControl w:val="0"/>
        <w:kinsoku/>
        <w:wordWrap/>
        <w:overflowPunct/>
        <w:topLinePunct w:val="0"/>
        <w:autoSpaceDE/>
        <w:autoSpaceDN/>
        <w:bidi w:val="0"/>
        <w:adjustRightInd/>
        <w:snapToGrid/>
        <w:spacing w:line="640" w:lineRule="exact"/>
        <w:ind w:firstLine="200"/>
        <w:jc w:val="both"/>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color w:val="000000"/>
          <w:kern w:val="0"/>
          <w:sz w:val="44"/>
          <w:szCs w:val="44"/>
        </w:rPr>
      </w:pPr>
    </w:p>
    <w:p>
      <w:pPr>
        <w:keepNext w:val="0"/>
        <w:keepLines w:val="0"/>
        <w:pageBreakBefore w:val="0"/>
        <w:kinsoku/>
        <w:wordWrap/>
        <w:overflowPunct/>
        <w:topLinePunct w:val="0"/>
        <w:autoSpaceDE/>
        <w:autoSpaceDN/>
        <w:bidi w:val="0"/>
        <w:adjustRightInd/>
        <w:snapToGrid/>
        <w:spacing w:line="64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color w:val="000000"/>
          <w:kern w:val="0"/>
          <w:sz w:val="44"/>
          <w:szCs w:val="44"/>
        </w:rPr>
        <w:t>对律师事务所、律师进行表彰奖励服务指南</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一、事项编码</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0600-H-00400-140524</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二、实施部门</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陵川县司法局公共法律</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股</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三、事项类别</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行政奖励</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五、设立依据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【部门规章】《律师事务所管理办法》（司法部令第133号）</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【部门规章】《律师执业管理办法》（司法部令第134号）</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rPr>
        <w:t>第五条 司法行政机关、律师协会应当建立健全律师表彰奖励制度，根据有关规定设立综合性和单项表彰项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六、收费依据及标准</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七、结果送达</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当面送达；邮寄送达</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八、行政救济途径与方式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可在60日内向陵川人民政府提起行政复议；或在六个月内向有管辖权的人民法院提起行政诉讼。</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九、咨询方式</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十、监督投诉渠道</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十一、办理进程和结果查询</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电话：0356-6208600</w:t>
      </w:r>
    </w:p>
    <w:p>
      <w:pPr>
        <w:keepNext w:val="0"/>
        <w:keepLines w:val="0"/>
        <w:pageBreakBefore w:val="0"/>
        <w:kinsoku/>
        <w:wordWrap/>
        <w:overflowPunct/>
        <w:topLinePunct w:val="0"/>
        <w:autoSpaceDE/>
        <w:autoSpaceDN/>
        <w:bidi w:val="0"/>
        <w:adjustRightInd/>
        <w:snapToGrid/>
        <w:spacing w:line="640" w:lineRule="exact"/>
        <w:ind w:firstLine="643" w:firstLineChars="200"/>
        <w:jc w:val="both"/>
        <w:rPr>
          <w:rFonts w:ascii="仿宋_GB2312" w:hAnsi="仿宋_GB2312" w:eastAsia="仿宋_GB2312" w:cs="仿宋_GB2312"/>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56EB1"/>
    <w:rsid w:val="00056EB1"/>
    <w:rsid w:val="000B3360"/>
    <w:rsid w:val="0012299C"/>
    <w:rsid w:val="001261C7"/>
    <w:rsid w:val="0022044C"/>
    <w:rsid w:val="00331955"/>
    <w:rsid w:val="003772B8"/>
    <w:rsid w:val="003A72D9"/>
    <w:rsid w:val="00424777"/>
    <w:rsid w:val="00514521"/>
    <w:rsid w:val="005257C3"/>
    <w:rsid w:val="00606CDF"/>
    <w:rsid w:val="006F21D1"/>
    <w:rsid w:val="00AD0133"/>
    <w:rsid w:val="00C20F1C"/>
    <w:rsid w:val="00C54A30"/>
    <w:rsid w:val="00C97BC3"/>
    <w:rsid w:val="00DC3786"/>
    <w:rsid w:val="00EE1F03"/>
    <w:rsid w:val="00F856B2"/>
    <w:rsid w:val="15532E5F"/>
    <w:rsid w:val="216138B1"/>
    <w:rsid w:val="545F4C93"/>
    <w:rsid w:val="63BB5A21"/>
    <w:rsid w:val="67CA1E43"/>
    <w:rsid w:val="6C414A12"/>
    <w:rsid w:val="7E394867"/>
    <w:rsid w:val="7FD80A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762</Words>
  <Characters>4347</Characters>
  <Lines>36</Lines>
  <Paragraphs>10</Paragraphs>
  <TotalTime>24</TotalTime>
  <ScaleCrop>false</ScaleCrop>
  <LinksUpToDate>false</LinksUpToDate>
  <CharactersWithSpaces>5099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2021-08-12T08:11:00Z</dcterms:created>
  <dc:creator>微软用户</dc:creator>
  <cp:lastModifiedBy>一米阳光</cp:lastModifiedBy>
  <cp:lastPrinted>2021-08-17T07:08:00Z</cp:lastPrinted>
  <dcterms:modified xsi:type="dcterms:W3CDTF">2021-08-20T11:30:19Z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BFDF0688C52C4376B4D6ACC92F3580E3</vt:lpwstr>
  </property>
</Properties>
</file>