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2C6E99">
      <w:pPr>
        <w:jc w:val="center"/>
        <w:rPr>
          <w:b/>
          <w:bCs/>
          <w:sz w:val="64"/>
          <w:szCs w:val="64"/>
        </w:rPr>
      </w:pPr>
    </w:p>
    <w:p w14:paraId="47E008E1">
      <w:pPr>
        <w:jc w:val="center"/>
        <w:rPr>
          <w:b/>
          <w:bCs/>
          <w:sz w:val="64"/>
          <w:szCs w:val="64"/>
        </w:rPr>
      </w:pPr>
    </w:p>
    <w:p w14:paraId="0666C27B">
      <w:pPr>
        <w:jc w:val="center"/>
        <w:rPr>
          <w:b/>
          <w:bCs/>
          <w:sz w:val="64"/>
          <w:szCs w:val="64"/>
        </w:rPr>
      </w:pPr>
    </w:p>
    <w:p w14:paraId="2E778407">
      <w:pPr>
        <w:jc w:val="center"/>
        <w:rPr>
          <w:b/>
          <w:bCs/>
          <w:sz w:val="64"/>
          <w:szCs w:val="64"/>
        </w:rPr>
      </w:pPr>
    </w:p>
    <w:p w14:paraId="3B7709F0">
      <w:pPr>
        <w:jc w:val="center"/>
        <w:outlineLvl w:val="9"/>
        <w:rPr>
          <w:rFonts w:hint="eastAsia"/>
          <w:b/>
          <w:bCs/>
          <w:sz w:val="84"/>
          <w:szCs w:val="84"/>
          <w:lang w:val="en-US" w:eastAsia="zh-CN"/>
        </w:rPr>
      </w:pPr>
      <w:bookmarkStart w:id="0" w:name="_Toc26892"/>
    </w:p>
    <w:bookmarkEnd w:id="0"/>
    <w:p w14:paraId="7E0A1C29">
      <w:pPr>
        <w:jc w:val="center"/>
        <w:outlineLvl w:val="0"/>
        <w:rPr>
          <w:rFonts w:hint="eastAsia"/>
          <w:b/>
          <w:bCs/>
          <w:sz w:val="72"/>
          <w:szCs w:val="72"/>
          <w:lang w:val="en-US" w:eastAsia="zh-CN"/>
        </w:rPr>
      </w:pPr>
      <w:bookmarkStart w:id="1" w:name="_Toc3505"/>
      <w:bookmarkStart w:id="2" w:name="_Toc16153"/>
      <w:bookmarkStart w:id="3" w:name="_Toc8959"/>
      <w:bookmarkStart w:id="4" w:name="_Toc24337"/>
      <w:bookmarkStart w:id="5" w:name="_Toc7269"/>
      <w:bookmarkStart w:id="6" w:name="_Toc15012"/>
      <w:bookmarkStart w:id="7" w:name="_Toc16680"/>
      <w:bookmarkStart w:id="8" w:name="_Toc19548"/>
      <w:r>
        <w:rPr>
          <w:rFonts w:hint="eastAsia"/>
          <w:b/>
          <w:bCs/>
          <w:sz w:val="72"/>
          <w:szCs w:val="72"/>
          <w:lang w:val="en-US" w:eastAsia="zh-CN"/>
        </w:rPr>
        <w:t>陵川县继续教育培训平台</w:t>
      </w:r>
      <w:bookmarkEnd w:id="1"/>
      <w:bookmarkEnd w:id="2"/>
      <w:bookmarkEnd w:id="3"/>
    </w:p>
    <w:p w14:paraId="471E1C6C">
      <w:pPr>
        <w:jc w:val="center"/>
        <w:outlineLvl w:val="9"/>
        <w:rPr>
          <w:rFonts w:hint="eastAsia"/>
          <w:b/>
          <w:bCs/>
          <w:sz w:val="72"/>
          <w:szCs w:val="72"/>
          <w:lang w:val="en-US" w:eastAsia="zh-CN"/>
        </w:rPr>
      </w:pPr>
    </w:p>
    <w:p w14:paraId="3A7B21C0">
      <w:pPr>
        <w:jc w:val="center"/>
        <w:outlineLvl w:val="0"/>
        <w:rPr>
          <w:rFonts w:hint="eastAsia"/>
          <w:b/>
          <w:bCs/>
          <w:sz w:val="84"/>
          <w:szCs w:val="84"/>
          <w:lang w:val="en-US" w:eastAsia="zh-CN"/>
        </w:rPr>
      </w:pPr>
      <w:bookmarkStart w:id="9" w:name="_Toc29972"/>
      <w:bookmarkStart w:id="10" w:name="_Toc10742"/>
      <w:bookmarkStart w:id="11" w:name="_Toc22055"/>
      <w:r>
        <w:rPr>
          <w:rFonts w:hint="eastAsia"/>
          <w:b/>
          <w:bCs/>
          <w:sz w:val="84"/>
          <w:szCs w:val="84"/>
          <w:lang w:val="en-US" w:eastAsia="zh-CN"/>
        </w:rPr>
        <w:t>学习操</w:t>
      </w:r>
      <w:bookmarkEnd w:id="4"/>
      <w:bookmarkEnd w:id="5"/>
      <w:bookmarkEnd w:id="6"/>
      <w:bookmarkStart w:id="12" w:name="_Toc5532"/>
      <w:bookmarkStart w:id="13" w:name="_Toc12696"/>
      <w:bookmarkStart w:id="14" w:name="_Toc14118"/>
      <w:r>
        <w:rPr>
          <w:rFonts w:hint="eastAsia"/>
          <w:b/>
          <w:bCs/>
          <w:sz w:val="84"/>
          <w:szCs w:val="84"/>
          <w:lang w:val="en-US" w:eastAsia="zh-CN"/>
        </w:rPr>
        <w:t>作</w:t>
      </w:r>
      <w:bookmarkEnd w:id="12"/>
      <w:bookmarkEnd w:id="13"/>
      <w:bookmarkEnd w:id="14"/>
      <w:bookmarkStart w:id="15" w:name="_Toc6892"/>
      <w:bookmarkStart w:id="16" w:name="_Toc6141"/>
      <w:bookmarkStart w:id="17" w:name="_Toc19609"/>
      <w:r>
        <w:rPr>
          <w:rFonts w:hint="eastAsia"/>
          <w:b/>
          <w:bCs/>
          <w:sz w:val="84"/>
          <w:szCs w:val="84"/>
          <w:lang w:val="en-US" w:eastAsia="zh-CN"/>
        </w:rPr>
        <w:t>手</w:t>
      </w:r>
      <w:bookmarkEnd w:id="15"/>
      <w:bookmarkEnd w:id="16"/>
      <w:bookmarkEnd w:id="17"/>
      <w:bookmarkStart w:id="18" w:name="_Toc5311"/>
      <w:bookmarkStart w:id="19" w:name="_Toc15905"/>
      <w:bookmarkStart w:id="20" w:name="_Toc7226"/>
      <w:r>
        <w:rPr>
          <w:rFonts w:hint="eastAsia"/>
          <w:b/>
          <w:bCs/>
          <w:sz w:val="84"/>
          <w:szCs w:val="84"/>
          <w:lang w:val="en-US" w:eastAsia="zh-CN"/>
        </w:rPr>
        <w:t>册</w:t>
      </w:r>
      <w:bookmarkEnd w:id="7"/>
      <w:bookmarkEnd w:id="8"/>
      <w:bookmarkEnd w:id="9"/>
      <w:bookmarkEnd w:id="10"/>
      <w:bookmarkEnd w:id="11"/>
      <w:bookmarkEnd w:id="18"/>
      <w:bookmarkEnd w:id="19"/>
      <w:bookmarkEnd w:id="20"/>
    </w:p>
    <w:p w14:paraId="21795E94">
      <w:pPr>
        <w:jc w:val="center"/>
        <w:outlineLvl w:val="0"/>
        <w:rPr>
          <w:rFonts w:hint="eastAsia" w:ascii="宋体" w:hAnsi="宋体" w:eastAsia="宋体" w:cs="宋体"/>
          <w:b/>
          <w:bCs/>
          <w:sz w:val="48"/>
          <w:szCs w:val="48"/>
          <w:lang w:val="en-US" w:eastAsia="zh-CN"/>
        </w:rPr>
      </w:pPr>
      <w:bookmarkStart w:id="21" w:name="_Toc6972"/>
      <w:bookmarkStart w:id="22" w:name="_Toc8951"/>
      <w:r>
        <w:rPr>
          <w:rFonts w:hint="eastAsia" w:ascii="宋体" w:hAnsi="宋体" w:eastAsia="宋体" w:cs="宋体"/>
          <w:b/>
          <w:bCs/>
          <w:sz w:val="48"/>
          <w:szCs w:val="48"/>
          <w:lang w:val="en-US" w:eastAsia="zh-CN"/>
        </w:rPr>
        <w:t>（2025年）</w:t>
      </w:r>
      <w:bookmarkEnd w:id="21"/>
      <w:bookmarkEnd w:id="22"/>
    </w:p>
    <w:p w14:paraId="4C41D06D">
      <w:pPr>
        <w:jc w:val="center"/>
        <w:outlineLvl w:val="9"/>
        <w:rPr>
          <w:rFonts w:hint="eastAsia"/>
          <w:b/>
          <w:bCs/>
          <w:sz w:val="84"/>
          <w:szCs w:val="84"/>
          <w:lang w:val="en-US" w:eastAsia="zh-CN"/>
        </w:rPr>
      </w:pPr>
    </w:p>
    <w:p w14:paraId="3B6820D8">
      <w:pPr>
        <w:jc w:val="center"/>
        <w:outlineLvl w:val="9"/>
        <w:rPr>
          <w:rFonts w:hint="eastAsia"/>
          <w:b/>
          <w:bCs/>
          <w:sz w:val="84"/>
          <w:szCs w:val="84"/>
          <w:lang w:val="en-US" w:eastAsia="zh-CN"/>
        </w:rPr>
      </w:pPr>
    </w:p>
    <w:p w14:paraId="472C2917">
      <w:pPr>
        <w:jc w:val="center"/>
        <w:rPr>
          <w:rFonts w:hint="eastAsia"/>
          <w:b/>
          <w:bCs/>
          <w:sz w:val="52"/>
          <w:szCs w:val="72"/>
          <w:lang w:val="en-US" w:eastAsia="zh-CN"/>
        </w:rPr>
      </w:pPr>
    </w:p>
    <w:p w14:paraId="5C101480">
      <w:pPr>
        <w:jc w:val="center"/>
        <w:rPr>
          <w:rFonts w:hint="eastAsia"/>
          <w:b/>
          <w:bCs/>
          <w:sz w:val="52"/>
          <w:szCs w:val="72"/>
          <w:lang w:val="en-US" w:eastAsia="zh-CN"/>
        </w:rPr>
      </w:pPr>
    </w:p>
    <w:p w14:paraId="5AD49F77">
      <w:pPr>
        <w:jc w:val="left"/>
        <w:rPr>
          <w:rFonts w:hint="eastAsia"/>
          <w:lang w:val="en-US" w:eastAsia="zh-CN"/>
        </w:rPr>
      </w:pPr>
    </w:p>
    <w:p w14:paraId="28997B75">
      <w:pPr>
        <w:jc w:val="left"/>
        <w:rPr>
          <w:rFonts w:hint="eastAsia"/>
          <w:lang w:val="en-US" w:eastAsia="zh-CN"/>
        </w:rPr>
      </w:pPr>
    </w:p>
    <w:sdt>
      <w:sdtPr>
        <w:rPr>
          <w:rFonts w:ascii="宋体" w:hAnsi="宋体" w:eastAsia="宋体" w:cstheme="minorBidi"/>
          <w:kern w:val="2"/>
          <w:sz w:val="21"/>
          <w:szCs w:val="24"/>
          <w:lang w:val="en-US" w:eastAsia="zh-CN" w:bidi="ar-SA"/>
        </w:rPr>
        <w:id w:val="147471578"/>
        <w15:color w:val="DBDBDB"/>
        <w:docPartObj>
          <w:docPartGallery w:val="Table of Contents"/>
          <w:docPartUnique/>
        </w:docPartObj>
      </w:sdtPr>
      <w:sdtContent>
        <w:p w14:paraId="6012C884">
          <w:pPr>
            <w:spacing w:before="0" w:beforeLines="0" w:after="0" w:afterLines="0" w:line="240" w:lineRule="auto"/>
            <w:ind w:left="0" w:leftChars="0" w:right="0" w:rightChars="0" w:firstLine="0" w:firstLineChars="0"/>
            <w:jc w:val="center"/>
            <w:rPr>
              <w:rFonts w:ascii="宋体" w:hAnsi="宋体" w:eastAsia="宋体"/>
              <w:b/>
              <w:bCs/>
              <w:sz w:val="72"/>
              <w:szCs w:val="112"/>
            </w:rPr>
          </w:pPr>
          <w:bookmarkStart w:id="23" w:name="_Toc12397"/>
          <w:r>
            <w:rPr>
              <w:rFonts w:ascii="宋体" w:hAnsi="宋体" w:eastAsia="宋体"/>
              <w:b/>
              <w:bCs/>
              <w:sz w:val="72"/>
              <w:szCs w:val="112"/>
            </w:rPr>
            <w:t>目录</w:t>
          </w:r>
        </w:p>
        <w:p w14:paraId="04BDDFF8">
          <w:pPr>
            <w:spacing w:before="0" w:beforeLines="0" w:after="0" w:afterLines="0" w:line="240" w:lineRule="auto"/>
            <w:ind w:left="0" w:leftChars="0" w:right="0" w:rightChars="0" w:firstLine="0" w:firstLineChars="0"/>
            <w:jc w:val="center"/>
            <w:rPr>
              <w:rFonts w:ascii="宋体" w:hAnsi="宋体" w:eastAsia="宋体"/>
              <w:b/>
              <w:bCs/>
              <w:sz w:val="72"/>
              <w:szCs w:val="112"/>
            </w:rPr>
          </w:pPr>
        </w:p>
        <w:p w14:paraId="601438F1">
          <w:pPr>
            <w:spacing w:before="0" w:beforeLines="0" w:after="0" w:afterLines="0" w:line="240" w:lineRule="auto"/>
            <w:ind w:left="0" w:leftChars="0" w:right="0" w:rightChars="0" w:firstLine="0" w:firstLineChars="0"/>
            <w:jc w:val="center"/>
            <w:rPr>
              <w:rFonts w:ascii="宋体" w:hAnsi="宋体" w:eastAsia="宋体"/>
              <w:b/>
              <w:bCs/>
              <w:sz w:val="72"/>
              <w:szCs w:val="112"/>
            </w:rPr>
          </w:pPr>
        </w:p>
        <w:p w14:paraId="6B0906DA">
          <w:pPr>
            <w:pStyle w:val="2"/>
            <w:tabs>
              <w:tab w:val="right" w:leader="dot" w:pos="8306"/>
            </w:tabs>
          </w:pPr>
          <w:r>
            <w:fldChar w:fldCharType="begin"/>
          </w:r>
          <w:r>
            <w:instrText xml:space="preserve">TOC \o "1-1" \h \u </w:instrText>
          </w:r>
          <w:r>
            <w:fldChar w:fldCharType="separate"/>
          </w:r>
        </w:p>
        <w:p w14:paraId="58869898">
          <w:pPr>
            <w:pStyle w:val="2"/>
            <w:tabs>
              <w:tab w:val="right" w:leader="dot" w:pos="8306"/>
            </w:tabs>
            <w:rPr>
              <w:rFonts w:hint="eastAsia" w:ascii="宋体" w:hAnsi="宋体" w:eastAsia="宋体" w:cs="宋体"/>
              <w:sz w:val="28"/>
              <w:szCs w:val="36"/>
            </w:rPr>
          </w:pPr>
          <w:r>
            <w:rPr>
              <w:rFonts w:hint="eastAsia" w:ascii="宋体" w:hAnsi="宋体" w:eastAsia="宋体" w:cs="宋体"/>
              <w:sz w:val="28"/>
              <w:szCs w:val="36"/>
            </w:rPr>
            <w:fldChar w:fldCharType="begin"/>
          </w:r>
          <w:r>
            <w:rPr>
              <w:rFonts w:hint="eastAsia" w:ascii="宋体" w:hAnsi="宋体" w:eastAsia="宋体" w:cs="宋体"/>
              <w:sz w:val="28"/>
              <w:szCs w:val="36"/>
            </w:rPr>
            <w:instrText xml:space="preserve"> HYPERLINK \l _Toc9370 </w:instrText>
          </w:r>
          <w:r>
            <w:rPr>
              <w:rFonts w:hint="eastAsia" w:ascii="宋体" w:hAnsi="宋体" w:eastAsia="宋体" w:cs="宋体"/>
              <w:sz w:val="28"/>
              <w:szCs w:val="36"/>
            </w:rPr>
            <w:fldChar w:fldCharType="separate"/>
          </w:r>
          <w:r>
            <w:rPr>
              <w:rFonts w:hint="eastAsia" w:ascii="宋体" w:hAnsi="宋体" w:eastAsia="宋体" w:cs="宋体"/>
              <w:bCs/>
              <w:sz w:val="28"/>
              <w:szCs w:val="40"/>
              <w:lang w:val="en-US" w:eastAsia="zh-CN"/>
            </w:rPr>
            <w:t>一、手机学习的两种方式：</w:t>
          </w:r>
          <w:r>
            <w:rPr>
              <w:rFonts w:hint="eastAsia" w:ascii="宋体" w:hAnsi="宋体" w:eastAsia="宋体" w:cs="宋体"/>
              <w:sz w:val="28"/>
              <w:szCs w:val="36"/>
            </w:rPr>
            <w:tab/>
          </w:r>
          <w:r>
            <w:rPr>
              <w:rFonts w:hint="eastAsia" w:ascii="宋体" w:hAnsi="宋体" w:eastAsia="宋体" w:cs="宋体"/>
              <w:sz w:val="28"/>
              <w:szCs w:val="36"/>
            </w:rPr>
            <w:fldChar w:fldCharType="begin"/>
          </w:r>
          <w:r>
            <w:rPr>
              <w:rFonts w:hint="eastAsia" w:ascii="宋体" w:hAnsi="宋体" w:eastAsia="宋体" w:cs="宋体"/>
              <w:sz w:val="28"/>
              <w:szCs w:val="36"/>
            </w:rPr>
            <w:instrText xml:space="preserve"> PAGEREF _Toc9370 \h </w:instrText>
          </w:r>
          <w:r>
            <w:rPr>
              <w:rFonts w:hint="eastAsia" w:ascii="宋体" w:hAnsi="宋体" w:eastAsia="宋体" w:cs="宋体"/>
              <w:sz w:val="28"/>
              <w:szCs w:val="36"/>
            </w:rPr>
            <w:fldChar w:fldCharType="separate"/>
          </w:r>
          <w:r>
            <w:rPr>
              <w:rFonts w:hint="eastAsia" w:ascii="宋体" w:hAnsi="宋体" w:eastAsia="宋体" w:cs="宋体"/>
              <w:sz w:val="28"/>
              <w:szCs w:val="36"/>
            </w:rPr>
            <w:t>2</w:t>
          </w:r>
          <w:r>
            <w:rPr>
              <w:rFonts w:hint="eastAsia" w:ascii="宋体" w:hAnsi="宋体" w:eastAsia="宋体" w:cs="宋体"/>
              <w:sz w:val="28"/>
              <w:szCs w:val="36"/>
            </w:rPr>
            <w:fldChar w:fldCharType="end"/>
          </w:r>
          <w:r>
            <w:rPr>
              <w:rFonts w:hint="eastAsia" w:ascii="宋体" w:hAnsi="宋体" w:eastAsia="宋体" w:cs="宋体"/>
              <w:sz w:val="28"/>
              <w:szCs w:val="36"/>
            </w:rPr>
            <w:fldChar w:fldCharType="end"/>
          </w:r>
        </w:p>
        <w:p w14:paraId="192212C9">
          <w:pPr>
            <w:rPr>
              <w:rFonts w:hint="eastAsia"/>
            </w:rPr>
          </w:pPr>
        </w:p>
        <w:p w14:paraId="4211E8B6">
          <w:pPr>
            <w:pStyle w:val="2"/>
            <w:tabs>
              <w:tab w:val="right" w:leader="dot" w:pos="8306"/>
            </w:tabs>
            <w:rPr>
              <w:rFonts w:hint="eastAsia" w:ascii="宋体" w:hAnsi="宋体" w:eastAsia="宋体" w:cs="宋体"/>
              <w:sz w:val="28"/>
              <w:szCs w:val="36"/>
            </w:rPr>
          </w:pPr>
          <w:r>
            <w:rPr>
              <w:rFonts w:hint="eastAsia" w:ascii="宋体" w:hAnsi="宋体" w:eastAsia="宋体" w:cs="宋体"/>
              <w:sz w:val="28"/>
              <w:szCs w:val="36"/>
            </w:rPr>
            <w:fldChar w:fldCharType="begin"/>
          </w:r>
          <w:r>
            <w:rPr>
              <w:rFonts w:hint="eastAsia" w:ascii="宋体" w:hAnsi="宋体" w:eastAsia="宋体" w:cs="宋体"/>
              <w:sz w:val="28"/>
              <w:szCs w:val="36"/>
            </w:rPr>
            <w:instrText xml:space="preserve"> HYPERLINK \l _Toc22188 </w:instrText>
          </w:r>
          <w:r>
            <w:rPr>
              <w:rFonts w:hint="eastAsia" w:ascii="宋体" w:hAnsi="宋体" w:eastAsia="宋体" w:cs="宋体"/>
              <w:sz w:val="28"/>
              <w:szCs w:val="36"/>
            </w:rPr>
            <w:fldChar w:fldCharType="separate"/>
          </w:r>
          <w:r>
            <w:rPr>
              <w:rFonts w:hint="eastAsia" w:ascii="宋体" w:hAnsi="宋体" w:eastAsia="宋体" w:cs="宋体"/>
              <w:bCs/>
              <w:sz w:val="28"/>
              <w:szCs w:val="40"/>
              <w:lang w:val="en-US" w:eastAsia="zh-CN"/>
            </w:rPr>
            <w:t>二、电脑进入网站方式：</w:t>
          </w:r>
          <w:r>
            <w:rPr>
              <w:rFonts w:hint="eastAsia" w:ascii="宋体" w:hAnsi="宋体" w:eastAsia="宋体" w:cs="宋体"/>
              <w:sz w:val="28"/>
              <w:szCs w:val="36"/>
            </w:rPr>
            <w:tab/>
          </w:r>
          <w:r>
            <w:rPr>
              <w:rFonts w:hint="eastAsia" w:ascii="宋体" w:hAnsi="宋体" w:eastAsia="宋体" w:cs="宋体"/>
              <w:sz w:val="28"/>
              <w:szCs w:val="36"/>
            </w:rPr>
            <w:fldChar w:fldCharType="begin"/>
          </w:r>
          <w:r>
            <w:rPr>
              <w:rFonts w:hint="eastAsia" w:ascii="宋体" w:hAnsi="宋体" w:eastAsia="宋体" w:cs="宋体"/>
              <w:sz w:val="28"/>
              <w:szCs w:val="36"/>
            </w:rPr>
            <w:instrText xml:space="preserve"> PAGEREF _Toc22188 \h </w:instrText>
          </w:r>
          <w:r>
            <w:rPr>
              <w:rFonts w:hint="eastAsia" w:ascii="宋体" w:hAnsi="宋体" w:eastAsia="宋体" w:cs="宋体"/>
              <w:sz w:val="28"/>
              <w:szCs w:val="36"/>
            </w:rPr>
            <w:fldChar w:fldCharType="separate"/>
          </w:r>
          <w:r>
            <w:rPr>
              <w:rFonts w:hint="eastAsia" w:ascii="宋体" w:hAnsi="宋体" w:eastAsia="宋体" w:cs="宋体"/>
              <w:sz w:val="28"/>
              <w:szCs w:val="36"/>
            </w:rPr>
            <w:t>2</w:t>
          </w:r>
          <w:r>
            <w:rPr>
              <w:rFonts w:hint="eastAsia" w:ascii="宋体" w:hAnsi="宋体" w:eastAsia="宋体" w:cs="宋体"/>
              <w:sz w:val="28"/>
              <w:szCs w:val="36"/>
            </w:rPr>
            <w:fldChar w:fldCharType="end"/>
          </w:r>
          <w:r>
            <w:rPr>
              <w:rFonts w:hint="eastAsia" w:ascii="宋体" w:hAnsi="宋体" w:eastAsia="宋体" w:cs="宋体"/>
              <w:sz w:val="28"/>
              <w:szCs w:val="36"/>
            </w:rPr>
            <w:fldChar w:fldCharType="end"/>
          </w:r>
        </w:p>
        <w:p w14:paraId="360BFF54">
          <w:pPr>
            <w:rPr>
              <w:rFonts w:hint="eastAsia"/>
            </w:rPr>
          </w:pPr>
        </w:p>
        <w:p w14:paraId="582BC184">
          <w:pPr>
            <w:pStyle w:val="2"/>
            <w:tabs>
              <w:tab w:val="right" w:leader="dot" w:pos="8306"/>
            </w:tabs>
            <w:rPr>
              <w:rFonts w:hint="eastAsia" w:ascii="宋体" w:hAnsi="宋体" w:eastAsia="宋体" w:cs="宋体"/>
              <w:sz w:val="28"/>
              <w:szCs w:val="36"/>
            </w:rPr>
          </w:pPr>
          <w:r>
            <w:rPr>
              <w:rFonts w:hint="eastAsia" w:ascii="宋体" w:hAnsi="宋体" w:eastAsia="宋体" w:cs="宋体"/>
              <w:sz w:val="28"/>
              <w:szCs w:val="36"/>
            </w:rPr>
            <w:fldChar w:fldCharType="begin"/>
          </w:r>
          <w:r>
            <w:rPr>
              <w:rFonts w:hint="eastAsia" w:ascii="宋体" w:hAnsi="宋体" w:eastAsia="宋体" w:cs="宋体"/>
              <w:sz w:val="28"/>
              <w:szCs w:val="36"/>
            </w:rPr>
            <w:instrText xml:space="preserve"> HYPERLINK \l _Toc3574 </w:instrText>
          </w:r>
          <w:r>
            <w:rPr>
              <w:rFonts w:hint="eastAsia" w:ascii="宋体" w:hAnsi="宋体" w:eastAsia="宋体" w:cs="宋体"/>
              <w:sz w:val="28"/>
              <w:szCs w:val="36"/>
            </w:rPr>
            <w:fldChar w:fldCharType="separate"/>
          </w:r>
          <w:r>
            <w:rPr>
              <w:rFonts w:hint="eastAsia" w:ascii="宋体" w:hAnsi="宋体" w:eastAsia="宋体" w:cs="宋体"/>
              <w:bCs/>
              <w:sz w:val="28"/>
              <w:szCs w:val="40"/>
              <w:lang w:val="en-US" w:eastAsia="zh-CN"/>
            </w:rPr>
            <w:t>三、登录、注册账户：</w:t>
          </w:r>
          <w:r>
            <w:rPr>
              <w:rFonts w:hint="eastAsia" w:ascii="宋体" w:hAnsi="宋体" w:eastAsia="宋体" w:cs="宋体"/>
              <w:sz w:val="28"/>
              <w:szCs w:val="36"/>
            </w:rPr>
            <w:tab/>
          </w:r>
          <w:r>
            <w:rPr>
              <w:rFonts w:hint="eastAsia" w:ascii="宋体" w:hAnsi="宋体" w:eastAsia="宋体" w:cs="宋体"/>
              <w:sz w:val="28"/>
              <w:szCs w:val="36"/>
            </w:rPr>
            <w:fldChar w:fldCharType="begin"/>
          </w:r>
          <w:r>
            <w:rPr>
              <w:rFonts w:hint="eastAsia" w:ascii="宋体" w:hAnsi="宋体" w:eastAsia="宋体" w:cs="宋体"/>
              <w:sz w:val="28"/>
              <w:szCs w:val="36"/>
            </w:rPr>
            <w:instrText xml:space="preserve"> PAGEREF _Toc3574 \h </w:instrText>
          </w:r>
          <w:r>
            <w:rPr>
              <w:rFonts w:hint="eastAsia" w:ascii="宋体" w:hAnsi="宋体" w:eastAsia="宋体" w:cs="宋体"/>
              <w:sz w:val="28"/>
              <w:szCs w:val="36"/>
            </w:rPr>
            <w:fldChar w:fldCharType="separate"/>
          </w:r>
          <w:r>
            <w:rPr>
              <w:rFonts w:hint="eastAsia" w:ascii="宋体" w:hAnsi="宋体" w:eastAsia="宋体" w:cs="宋体"/>
              <w:sz w:val="28"/>
              <w:szCs w:val="36"/>
            </w:rPr>
            <w:t>2</w:t>
          </w:r>
          <w:r>
            <w:rPr>
              <w:rFonts w:hint="eastAsia" w:ascii="宋体" w:hAnsi="宋体" w:eastAsia="宋体" w:cs="宋体"/>
              <w:sz w:val="28"/>
              <w:szCs w:val="36"/>
            </w:rPr>
            <w:fldChar w:fldCharType="end"/>
          </w:r>
          <w:r>
            <w:rPr>
              <w:rFonts w:hint="eastAsia" w:ascii="宋体" w:hAnsi="宋体" w:eastAsia="宋体" w:cs="宋体"/>
              <w:sz w:val="28"/>
              <w:szCs w:val="36"/>
            </w:rPr>
            <w:fldChar w:fldCharType="end"/>
          </w:r>
        </w:p>
        <w:p w14:paraId="64674D1D">
          <w:pPr>
            <w:rPr>
              <w:rFonts w:hint="eastAsia"/>
            </w:rPr>
          </w:pPr>
        </w:p>
        <w:p w14:paraId="6B18839F">
          <w:pPr>
            <w:pStyle w:val="2"/>
            <w:tabs>
              <w:tab w:val="right" w:leader="dot" w:pos="8306"/>
            </w:tabs>
            <w:rPr>
              <w:rFonts w:hint="eastAsia" w:ascii="宋体" w:hAnsi="宋体" w:eastAsia="宋体" w:cs="宋体"/>
              <w:sz w:val="28"/>
              <w:szCs w:val="36"/>
            </w:rPr>
          </w:pPr>
          <w:r>
            <w:rPr>
              <w:rFonts w:hint="eastAsia" w:ascii="宋体" w:hAnsi="宋体" w:eastAsia="宋体" w:cs="宋体"/>
              <w:sz w:val="28"/>
              <w:szCs w:val="36"/>
            </w:rPr>
            <w:fldChar w:fldCharType="begin"/>
          </w:r>
          <w:r>
            <w:rPr>
              <w:rFonts w:hint="eastAsia" w:ascii="宋体" w:hAnsi="宋体" w:eastAsia="宋体" w:cs="宋体"/>
              <w:sz w:val="28"/>
              <w:szCs w:val="36"/>
            </w:rPr>
            <w:instrText xml:space="preserve"> HYPERLINK \l _Toc26689 </w:instrText>
          </w:r>
          <w:r>
            <w:rPr>
              <w:rFonts w:hint="eastAsia" w:ascii="宋体" w:hAnsi="宋体" w:eastAsia="宋体" w:cs="宋体"/>
              <w:sz w:val="28"/>
              <w:szCs w:val="36"/>
            </w:rPr>
            <w:fldChar w:fldCharType="separate"/>
          </w:r>
          <w:r>
            <w:rPr>
              <w:rFonts w:hint="eastAsia" w:ascii="宋体" w:hAnsi="宋体" w:eastAsia="宋体" w:cs="宋体"/>
              <w:bCs/>
              <w:sz w:val="28"/>
              <w:szCs w:val="40"/>
              <w:lang w:val="en-US" w:eastAsia="zh-CN"/>
            </w:rPr>
            <w:t>四、集体报名注意事项：</w:t>
          </w:r>
          <w:r>
            <w:rPr>
              <w:rFonts w:hint="eastAsia" w:ascii="宋体" w:hAnsi="宋体" w:eastAsia="宋体" w:cs="宋体"/>
              <w:sz w:val="28"/>
              <w:szCs w:val="36"/>
            </w:rPr>
            <w:tab/>
          </w:r>
          <w:r>
            <w:rPr>
              <w:rFonts w:hint="eastAsia" w:ascii="宋体" w:hAnsi="宋体" w:eastAsia="宋体" w:cs="宋体"/>
              <w:sz w:val="28"/>
              <w:szCs w:val="36"/>
            </w:rPr>
            <w:fldChar w:fldCharType="begin"/>
          </w:r>
          <w:r>
            <w:rPr>
              <w:rFonts w:hint="eastAsia" w:ascii="宋体" w:hAnsi="宋体" w:eastAsia="宋体" w:cs="宋体"/>
              <w:sz w:val="28"/>
              <w:szCs w:val="36"/>
            </w:rPr>
            <w:instrText xml:space="preserve"> PAGEREF _Toc26689 \h </w:instrText>
          </w:r>
          <w:r>
            <w:rPr>
              <w:rFonts w:hint="eastAsia" w:ascii="宋体" w:hAnsi="宋体" w:eastAsia="宋体" w:cs="宋体"/>
              <w:sz w:val="28"/>
              <w:szCs w:val="36"/>
            </w:rPr>
            <w:fldChar w:fldCharType="separate"/>
          </w:r>
          <w:r>
            <w:rPr>
              <w:rFonts w:hint="eastAsia" w:ascii="宋体" w:hAnsi="宋体" w:eastAsia="宋体" w:cs="宋体"/>
              <w:sz w:val="28"/>
              <w:szCs w:val="36"/>
            </w:rPr>
            <w:t>3</w:t>
          </w:r>
          <w:r>
            <w:rPr>
              <w:rFonts w:hint="eastAsia" w:ascii="宋体" w:hAnsi="宋体" w:eastAsia="宋体" w:cs="宋体"/>
              <w:sz w:val="28"/>
              <w:szCs w:val="36"/>
            </w:rPr>
            <w:fldChar w:fldCharType="end"/>
          </w:r>
          <w:r>
            <w:rPr>
              <w:rFonts w:hint="eastAsia" w:ascii="宋体" w:hAnsi="宋体" w:eastAsia="宋体" w:cs="宋体"/>
              <w:sz w:val="28"/>
              <w:szCs w:val="36"/>
            </w:rPr>
            <w:fldChar w:fldCharType="end"/>
          </w:r>
        </w:p>
        <w:p w14:paraId="29AEC891">
          <w:pPr>
            <w:rPr>
              <w:rFonts w:hint="eastAsia"/>
            </w:rPr>
          </w:pPr>
        </w:p>
        <w:p w14:paraId="61A1F3E4">
          <w:pPr>
            <w:pStyle w:val="2"/>
            <w:tabs>
              <w:tab w:val="right" w:leader="dot" w:pos="8306"/>
            </w:tabs>
            <w:rPr>
              <w:rFonts w:hint="eastAsia" w:ascii="宋体" w:hAnsi="宋体" w:eastAsia="宋体" w:cs="宋体"/>
              <w:sz w:val="28"/>
              <w:szCs w:val="36"/>
            </w:rPr>
          </w:pPr>
          <w:r>
            <w:rPr>
              <w:rFonts w:hint="eastAsia" w:ascii="宋体" w:hAnsi="宋体" w:eastAsia="宋体" w:cs="宋体"/>
              <w:sz w:val="28"/>
              <w:szCs w:val="36"/>
            </w:rPr>
            <w:fldChar w:fldCharType="begin"/>
          </w:r>
          <w:r>
            <w:rPr>
              <w:rFonts w:hint="eastAsia" w:ascii="宋体" w:hAnsi="宋体" w:eastAsia="宋体" w:cs="宋体"/>
              <w:sz w:val="28"/>
              <w:szCs w:val="36"/>
            </w:rPr>
            <w:instrText xml:space="preserve"> HYPERLINK \l _Toc24279 </w:instrText>
          </w:r>
          <w:r>
            <w:rPr>
              <w:rFonts w:hint="eastAsia" w:ascii="宋体" w:hAnsi="宋体" w:eastAsia="宋体" w:cs="宋体"/>
              <w:sz w:val="28"/>
              <w:szCs w:val="36"/>
            </w:rPr>
            <w:fldChar w:fldCharType="separate"/>
          </w:r>
          <w:r>
            <w:rPr>
              <w:rFonts w:hint="eastAsia" w:ascii="宋体" w:hAnsi="宋体" w:eastAsia="宋体" w:cs="宋体"/>
              <w:bCs/>
              <w:sz w:val="28"/>
              <w:szCs w:val="40"/>
              <w:lang w:val="en-US" w:eastAsia="zh-CN"/>
            </w:rPr>
            <w:t>五、个人在线支付选课激活流程：</w:t>
          </w:r>
          <w:r>
            <w:rPr>
              <w:rFonts w:hint="eastAsia" w:ascii="宋体" w:hAnsi="宋体" w:eastAsia="宋体" w:cs="宋体"/>
              <w:sz w:val="28"/>
              <w:szCs w:val="36"/>
            </w:rPr>
            <w:tab/>
          </w:r>
          <w:r>
            <w:rPr>
              <w:rFonts w:hint="eastAsia" w:ascii="宋体" w:hAnsi="宋体" w:eastAsia="宋体" w:cs="宋体"/>
              <w:sz w:val="28"/>
              <w:szCs w:val="36"/>
            </w:rPr>
            <w:fldChar w:fldCharType="begin"/>
          </w:r>
          <w:r>
            <w:rPr>
              <w:rFonts w:hint="eastAsia" w:ascii="宋体" w:hAnsi="宋体" w:eastAsia="宋体" w:cs="宋体"/>
              <w:sz w:val="28"/>
              <w:szCs w:val="36"/>
            </w:rPr>
            <w:instrText xml:space="preserve"> PAGEREF _Toc24279 \h </w:instrText>
          </w:r>
          <w:r>
            <w:rPr>
              <w:rFonts w:hint="eastAsia" w:ascii="宋体" w:hAnsi="宋体" w:eastAsia="宋体" w:cs="宋体"/>
              <w:sz w:val="28"/>
              <w:szCs w:val="36"/>
            </w:rPr>
            <w:fldChar w:fldCharType="separate"/>
          </w:r>
          <w:r>
            <w:rPr>
              <w:rFonts w:hint="eastAsia" w:ascii="宋体" w:hAnsi="宋体" w:eastAsia="宋体" w:cs="宋体"/>
              <w:sz w:val="28"/>
              <w:szCs w:val="36"/>
            </w:rPr>
            <w:t>4</w:t>
          </w:r>
          <w:r>
            <w:rPr>
              <w:rFonts w:hint="eastAsia" w:ascii="宋体" w:hAnsi="宋体" w:eastAsia="宋体" w:cs="宋体"/>
              <w:sz w:val="28"/>
              <w:szCs w:val="36"/>
            </w:rPr>
            <w:fldChar w:fldCharType="end"/>
          </w:r>
          <w:r>
            <w:rPr>
              <w:rFonts w:hint="eastAsia" w:ascii="宋体" w:hAnsi="宋体" w:eastAsia="宋体" w:cs="宋体"/>
              <w:sz w:val="28"/>
              <w:szCs w:val="36"/>
            </w:rPr>
            <w:fldChar w:fldCharType="end"/>
          </w:r>
        </w:p>
        <w:p w14:paraId="1FF21F24">
          <w:pPr>
            <w:rPr>
              <w:rFonts w:hint="eastAsia"/>
            </w:rPr>
          </w:pPr>
        </w:p>
        <w:p w14:paraId="3CA0747C">
          <w:pPr>
            <w:pStyle w:val="2"/>
            <w:tabs>
              <w:tab w:val="right" w:leader="dot" w:pos="8306"/>
            </w:tabs>
            <w:rPr>
              <w:rFonts w:hint="eastAsia" w:ascii="宋体" w:hAnsi="宋体" w:eastAsia="宋体" w:cs="宋体"/>
              <w:sz w:val="28"/>
              <w:szCs w:val="36"/>
            </w:rPr>
          </w:pPr>
          <w:r>
            <w:rPr>
              <w:rFonts w:hint="eastAsia" w:ascii="宋体" w:hAnsi="宋体" w:eastAsia="宋体" w:cs="宋体"/>
              <w:sz w:val="28"/>
              <w:szCs w:val="36"/>
            </w:rPr>
            <w:fldChar w:fldCharType="begin"/>
          </w:r>
          <w:r>
            <w:rPr>
              <w:rFonts w:hint="eastAsia" w:ascii="宋体" w:hAnsi="宋体" w:eastAsia="宋体" w:cs="宋体"/>
              <w:sz w:val="28"/>
              <w:szCs w:val="36"/>
            </w:rPr>
            <w:instrText xml:space="preserve"> HYPERLINK \l _Toc6370 </w:instrText>
          </w:r>
          <w:r>
            <w:rPr>
              <w:rFonts w:hint="eastAsia" w:ascii="宋体" w:hAnsi="宋体" w:eastAsia="宋体" w:cs="宋体"/>
              <w:sz w:val="28"/>
              <w:szCs w:val="36"/>
            </w:rPr>
            <w:fldChar w:fldCharType="separate"/>
          </w:r>
          <w:r>
            <w:rPr>
              <w:rFonts w:hint="eastAsia" w:ascii="宋体" w:hAnsi="宋体" w:eastAsia="宋体" w:cs="宋体"/>
              <w:bCs/>
              <w:sz w:val="28"/>
              <w:szCs w:val="40"/>
              <w:lang w:val="en-US" w:eastAsia="zh-CN"/>
            </w:rPr>
            <w:t>六、学习、考试流程：</w:t>
          </w:r>
          <w:r>
            <w:rPr>
              <w:rFonts w:hint="eastAsia" w:ascii="宋体" w:hAnsi="宋体" w:eastAsia="宋体" w:cs="宋体"/>
              <w:sz w:val="28"/>
              <w:szCs w:val="36"/>
            </w:rPr>
            <w:tab/>
          </w:r>
          <w:r>
            <w:rPr>
              <w:rFonts w:hint="eastAsia" w:ascii="宋体" w:hAnsi="宋体" w:eastAsia="宋体" w:cs="宋体"/>
              <w:sz w:val="28"/>
              <w:szCs w:val="36"/>
            </w:rPr>
            <w:fldChar w:fldCharType="begin"/>
          </w:r>
          <w:r>
            <w:rPr>
              <w:rFonts w:hint="eastAsia" w:ascii="宋体" w:hAnsi="宋体" w:eastAsia="宋体" w:cs="宋体"/>
              <w:sz w:val="28"/>
              <w:szCs w:val="36"/>
            </w:rPr>
            <w:instrText xml:space="preserve"> PAGEREF _Toc6370 \h </w:instrText>
          </w:r>
          <w:r>
            <w:rPr>
              <w:rFonts w:hint="eastAsia" w:ascii="宋体" w:hAnsi="宋体" w:eastAsia="宋体" w:cs="宋体"/>
              <w:sz w:val="28"/>
              <w:szCs w:val="36"/>
            </w:rPr>
            <w:fldChar w:fldCharType="separate"/>
          </w:r>
          <w:r>
            <w:rPr>
              <w:rFonts w:hint="eastAsia" w:ascii="宋体" w:hAnsi="宋体" w:eastAsia="宋体" w:cs="宋体"/>
              <w:sz w:val="28"/>
              <w:szCs w:val="36"/>
            </w:rPr>
            <w:t>6</w:t>
          </w:r>
          <w:r>
            <w:rPr>
              <w:rFonts w:hint="eastAsia" w:ascii="宋体" w:hAnsi="宋体" w:eastAsia="宋体" w:cs="宋体"/>
              <w:sz w:val="28"/>
              <w:szCs w:val="36"/>
            </w:rPr>
            <w:fldChar w:fldCharType="end"/>
          </w:r>
          <w:r>
            <w:rPr>
              <w:rFonts w:hint="eastAsia" w:ascii="宋体" w:hAnsi="宋体" w:eastAsia="宋体" w:cs="宋体"/>
              <w:sz w:val="28"/>
              <w:szCs w:val="36"/>
            </w:rPr>
            <w:fldChar w:fldCharType="end"/>
          </w:r>
        </w:p>
        <w:p w14:paraId="4F761DEC">
          <w:pPr>
            <w:rPr>
              <w:rFonts w:hint="eastAsia"/>
            </w:rPr>
          </w:pPr>
        </w:p>
        <w:p w14:paraId="74FA5F9E">
          <w:pPr>
            <w:pStyle w:val="2"/>
            <w:tabs>
              <w:tab w:val="right" w:leader="dot" w:pos="8306"/>
            </w:tabs>
            <w:rPr>
              <w:rFonts w:hint="eastAsia" w:ascii="宋体" w:hAnsi="宋体" w:eastAsia="宋体" w:cs="宋体"/>
              <w:sz w:val="28"/>
              <w:szCs w:val="36"/>
            </w:rPr>
          </w:pPr>
          <w:r>
            <w:rPr>
              <w:rFonts w:hint="eastAsia" w:ascii="宋体" w:hAnsi="宋体" w:eastAsia="宋体" w:cs="宋体"/>
              <w:sz w:val="28"/>
              <w:szCs w:val="36"/>
            </w:rPr>
            <w:fldChar w:fldCharType="begin"/>
          </w:r>
          <w:r>
            <w:rPr>
              <w:rFonts w:hint="eastAsia" w:ascii="宋体" w:hAnsi="宋体" w:eastAsia="宋体" w:cs="宋体"/>
              <w:sz w:val="28"/>
              <w:szCs w:val="36"/>
            </w:rPr>
            <w:instrText xml:space="preserve"> HYPERLINK \l _Toc18118 </w:instrText>
          </w:r>
          <w:r>
            <w:rPr>
              <w:rFonts w:hint="eastAsia" w:ascii="宋体" w:hAnsi="宋体" w:eastAsia="宋体" w:cs="宋体"/>
              <w:sz w:val="28"/>
              <w:szCs w:val="36"/>
            </w:rPr>
            <w:fldChar w:fldCharType="separate"/>
          </w:r>
          <w:r>
            <w:rPr>
              <w:rFonts w:hint="eastAsia" w:ascii="宋体" w:hAnsi="宋体" w:eastAsia="宋体" w:cs="宋体"/>
              <w:bCs/>
              <w:sz w:val="28"/>
              <w:szCs w:val="40"/>
              <w:lang w:val="en-US" w:eastAsia="zh-CN"/>
            </w:rPr>
            <w:t>七、申请/下载证书：</w:t>
          </w:r>
          <w:r>
            <w:rPr>
              <w:rFonts w:hint="eastAsia" w:ascii="宋体" w:hAnsi="宋体" w:eastAsia="宋体" w:cs="宋体"/>
              <w:sz w:val="28"/>
              <w:szCs w:val="36"/>
            </w:rPr>
            <w:tab/>
          </w:r>
          <w:r>
            <w:rPr>
              <w:rFonts w:hint="eastAsia" w:ascii="宋体" w:hAnsi="宋体" w:eastAsia="宋体" w:cs="宋体"/>
              <w:sz w:val="28"/>
              <w:szCs w:val="36"/>
            </w:rPr>
            <w:fldChar w:fldCharType="begin"/>
          </w:r>
          <w:r>
            <w:rPr>
              <w:rFonts w:hint="eastAsia" w:ascii="宋体" w:hAnsi="宋体" w:eastAsia="宋体" w:cs="宋体"/>
              <w:sz w:val="28"/>
              <w:szCs w:val="36"/>
            </w:rPr>
            <w:instrText xml:space="preserve"> PAGEREF _Toc18118 \h </w:instrText>
          </w:r>
          <w:r>
            <w:rPr>
              <w:rFonts w:hint="eastAsia" w:ascii="宋体" w:hAnsi="宋体" w:eastAsia="宋体" w:cs="宋体"/>
              <w:sz w:val="28"/>
              <w:szCs w:val="36"/>
            </w:rPr>
            <w:fldChar w:fldCharType="separate"/>
          </w:r>
          <w:r>
            <w:rPr>
              <w:rFonts w:hint="eastAsia" w:ascii="宋体" w:hAnsi="宋体" w:eastAsia="宋体" w:cs="宋体"/>
              <w:sz w:val="28"/>
              <w:szCs w:val="36"/>
            </w:rPr>
            <w:t>9</w:t>
          </w:r>
          <w:r>
            <w:rPr>
              <w:rFonts w:hint="eastAsia" w:ascii="宋体" w:hAnsi="宋体" w:eastAsia="宋体" w:cs="宋体"/>
              <w:sz w:val="28"/>
              <w:szCs w:val="36"/>
            </w:rPr>
            <w:fldChar w:fldCharType="end"/>
          </w:r>
          <w:r>
            <w:rPr>
              <w:rFonts w:hint="eastAsia" w:ascii="宋体" w:hAnsi="宋体" w:eastAsia="宋体" w:cs="宋体"/>
              <w:sz w:val="28"/>
              <w:szCs w:val="36"/>
            </w:rPr>
            <w:fldChar w:fldCharType="end"/>
          </w:r>
        </w:p>
        <w:p w14:paraId="40D01296">
          <w:pPr>
            <w:rPr>
              <w:rFonts w:hint="eastAsia"/>
            </w:rPr>
          </w:pPr>
        </w:p>
        <w:p w14:paraId="235DBA24">
          <w:pPr>
            <w:pStyle w:val="2"/>
            <w:tabs>
              <w:tab w:val="right" w:leader="dot" w:pos="8306"/>
            </w:tabs>
            <w:rPr>
              <w:rFonts w:hint="eastAsia" w:ascii="宋体" w:hAnsi="宋体" w:eastAsia="宋体" w:cs="宋体"/>
              <w:sz w:val="28"/>
              <w:szCs w:val="36"/>
            </w:rPr>
          </w:pPr>
          <w:r>
            <w:rPr>
              <w:rFonts w:hint="eastAsia" w:ascii="宋体" w:hAnsi="宋体" w:eastAsia="宋体" w:cs="宋体"/>
              <w:sz w:val="28"/>
              <w:szCs w:val="36"/>
            </w:rPr>
            <w:fldChar w:fldCharType="begin"/>
          </w:r>
          <w:r>
            <w:rPr>
              <w:rFonts w:hint="eastAsia" w:ascii="宋体" w:hAnsi="宋体" w:eastAsia="宋体" w:cs="宋体"/>
              <w:sz w:val="28"/>
              <w:szCs w:val="36"/>
            </w:rPr>
            <w:instrText xml:space="preserve"> HYPERLINK \l _Toc18623 </w:instrText>
          </w:r>
          <w:r>
            <w:rPr>
              <w:rFonts w:hint="eastAsia" w:ascii="宋体" w:hAnsi="宋体" w:eastAsia="宋体" w:cs="宋体"/>
              <w:sz w:val="28"/>
              <w:szCs w:val="36"/>
            </w:rPr>
            <w:fldChar w:fldCharType="separate"/>
          </w:r>
          <w:r>
            <w:rPr>
              <w:rFonts w:hint="eastAsia" w:ascii="宋体" w:hAnsi="宋体" w:eastAsia="宋体" w:cs="宋体"/>
              <w:bCs/>
              <w:sz w:val="28"/>
              <w:szCs w:val="40"/>
              <w:lang w:val="en-US" w:eastAsia="zh-CN"/>
            </w:rPr>
            <w:t>八、忘记密码怎么办？</w:t>
          </w:r>
          <w:r>
            <w:rPr>
              <w:rFonts w:hint="eastAsia" w:ascii="宋体" w:hAnsi="宋体" w:eastAsia="宋体" w:cs="宋体"/>
              <w:sz w:val="28"/>
              <w:szCs w:val="36"/>
            </w:rPr>
            <w:tab/>
          </w:r>
          <w:r>
            <w:rPr>
              <w:rFonts w:hint="eastAsia" w:ascii="宋体" w:hAnsi="宋体" w:eastAsia="宋体" w:cs="宋体"/>
              <w:sz w:val="28"/>
              <w:szCs w:val="36"/>
            </w:rPr>
            <w:fldChar w:fldCharType="begin"/>
          </w:r>
          <w:r>
            <w:rPr>
              <w:rFonts w:hint="eastAsia" w:ascii="宋体" w:hAnsi="宋体" w:eastAsia="宋体" w:cs="宋体"/>
              <w:sz w:val="28"/>
              <w:szCs w:val="36"/>
            </w:rPr>
            <w:instrText xml:space="preserve"> PAGEREF _Toc18623 \h </w:instrText>
          </w:r>
          <w:r>
            <w:rPr>
              <w:rFonts w:hint="eastAsia" w:ascii="宋体" w:hAnsi="宋体" w:eastAsia="宋体" w:cs="宋体"/>
              <w:sz w:val="28"/>
              <w:szCs w:val="36"/>
            </w:rPr>
            <w:fldChar w:fldCharType="separate"/>
          </w:r>
          <w:r>
            <w:rPr>
              <w:rFonts w:hint="eastAsia" w:ascii="宋体" w:hAnsi="宋体" w:eastAsia="宋体" w:cs="宋体"/>
              <w:sz w:val="28"/>
              <w:szCs w:val="36"/>
            </w:rPr>
            <w:t>9</w:t>
          </w:r>
          <w:r>
            <w:rPr>
              <w:rFonts w:hint="eastAsia" w:ascii="宋体" w:hAnsi="宋体" w:eastAsia="宋体" w:cs="宋体"/>
              <w:sz w:val="28"/>
              <w:szCs w:val="36"/>
            </w:rPr>
            <w:fldChar w:fldCharType="end"/>
          </w:r>
          <w:r>
            <w:rPr>
              <w:rFonts w:hint="eastAsia" w:ascii="宋体" w:hAnsi="宋体" w:eastAsia="宋体" w:cs="宋体"/>
              <w:sz w:val="28"/>
              <w:szCs w:val="36"/>
            </w:rPr>
            <w:fldChar w:fldCharType="end"/>
          </w:r>
        </w:p>
        <w:p w14:paraId="07885F05">
          <w:pPr>
            <w:rPr>
              <w:rFonts w:hint="eastAsia" w:ascii="宋体" w:hAnsi="宋体" w:eastAsia="宋体" w:cs="宋体"/>
              <w:sz w:val="28"/>
              <w:szCs w:val="36"/>
            </w:rPr>
          </w:pPr>
        </w:p>
        <w:p w14:paraId="723718A3">
          <w:pPr>
            <w:rPr>
              <w:rFonts w:hint="eastAsia" w:ascii="宋体" w:hAnsi="宋体" w:eastAsia="宋体" w:cs="宋体"/>
              <w:sz w:val="28"/>
              <w:szCs w:val="36"/>
            </w:rPr>
          </w:pPr>
        </w:p>
        <w:p w14:paraId="254BE6B3">
          <w:pPr>
            <w:rPr>
              <w:rFonts w:hint="eastAsia" w:ascii="宋体" w:hAnsi="宋体" w:eastAsia="宋体" w:cs="宋体"/>
              <w:sz w:val="28"/>
              <w:szCs w:val="36"/>
            </w:rPr>
          </w:pPr>
        </w:p>
        <w:p w14:paraId="67EF2B39">
          <w:pPr>
            <w:rPr>
              <w:rFonts w:hint="eastAsia" w:ascii="宋体" w:hAnsi="宋体" w:eastAsia="宋体" w:cs="宋体"/>
              <w:sz w:val="28"/>
              <w:szCs w:val="36"/>
            </w:rPr>
          </w:pPr>
        </w:p>
        <w:p w14:paraId="35404A6A">
          <w:pPr>
            <w:rPr>
              <w:rFonts w:hint="eastAsia" w:ascii="宋体" w:hAnsi="宋体" w:eastAsia="宋体" w:cs="宋体"/>
              <w:sz w:val="28"/>
              <w:szCs w:val="36"/>
            </w:rPr>
          </w:pPr>
        </w:p>
        <w:p w14:paraId="4A1F4441">
          <w:r>
            <w:fldChar w:fldCharType="end"/>
          </w:r>
        </w:p>
      </w:sdtContent>
    </w:sdt>
    <w:p w14:paraId="375A9A66">
      <w:pPr>
        <w:numPr>
          <w:ilvl w:val="0"/>
          <w:numId w:val="0"/>
        </w:numPr>
        <w:jc w:val="left"/>
        <w:outlineLvl w:val="0"/>
        <w:rPr>
          <w:rFonts w:hint="eastAsia"/>
          <w:b/>
          <w:bCs/>
          <w:sz w:val="28"/>
          <w:szCs w:val="28"/>
          <w:lang w:val="en-US" w:eastAsia="zh-CN"/>
        </w:rPr>
      </w:pPr>
      <w:bookmarkStart w:id="24" w:name="_Toc9370"/>
      <w:r>
        <w:rPr>
          <w:rFonts w:hint="eastAsia"/>
          <w:b/>
          <w:bCs/>
          <w:sz w:val="28"/>
          <w:szCs w:val="28"/>
          <w:lang w:val="en-US" w:eastAsia="zh-CN"/>
        </w:rPr>
        <w:t>一、手机学习的两种方式：</w:t>
      </w:r>
      <w:bookmarkEnd w:id="23"/>
      <w:bookmarkEnd w:id="24"/>
    </w:p>
    <w:p w14:paraId="39ABC091">
      <w:pPr>
        <w:jc w:val="center"/>
        <w:rPr>
          <w:rFonts w:hint="eastAsia"/>
          <w:lang w:val="en-US" w:eastAsia="zh-CN"/>
        </w:rPr>
      </w:pPr>
      <w:bookmarkStart w:id="70" w:name="_GoBack"/>
      <w:r>
        <w:rPr>
          <w:rFonts w:hint="eastAsia"/>
        </w:rPr>
        <w:drawing>
          <wp:inline distT="0" distB="0" distL="114300" distR="114300">
            <wp:extent cx="2812415" cy="1440180"/>
            <wp:effectExtent l="9525" t="9525" r="16510"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2812415" cy="1440180"/>
                    </a:xfrm>
                    <a:prstGeom prst="rect">
                      <a:avLst/>
                    </a:prstGeom>
                    <a:noFill/>
                    <a:ln w="9525">
                      <a:solidFill>
                        <a:schemeClr val="tx1"/>
                      </a:solidFill>
                    </a:ln>
                  </pic:spPr>
                </pic:pic>
              </a:graphicData>
            </a:graphic>
          </wp:inline>
        </w:drawing>
      </w:r>
      <w:bookmarkEnd w:id="70"/>
    </w:p>
    <w:p w14:paraId="0E670076">
      <w:pPr>
        <w:numPr>
          <w:ilvl w:val="0"/>
          <w:numId w:val="0"/>
        </w:numPr>
        <w:jc w:val="left"/>
        <w:outlineLvl w:val="0"/>
        <w:rPr>
          <w:rFonts w:hint="eastAsia"/>
          <w:b/>
          <w:bCs/>
          <w:sz w:val="28"/>
          <w:szCs w:val="28"/>
          <w:lang w:val="en-US" w:eastAsia="zh-CN"/>
        </w:rPr>
      </w:pPr>
      <w:bookmarkStart w:id="25" w:name="_Toc7779"/>
      <w:bookmarkStart w:id="26" w:name="_Toc1848"/>
      <w:bookmarkStart w:id="27" w:name="_Toc8496"/>
      <w:bookmarkStart w:id="28" w:name="_Toc31243"/>
      <w:bookmarkStart w:id="29" w:name="_Toc22188"/>
      <w:r>
        <w:rPr>
          <w:rFonts w:hint="eastAsia"/>
          <w:b/>
          <w:bCs/>
          <w:sz w:val="28"/>
          <w:szCs w:val="28"/>
          <w:lang w:val="en-US" w:eastAsia="zh-CN"/>
        </w:rPr>
        <w:t>二、电脑进入网站方式：</w:t>
      </w:r>
      <w:bookmarkEnd w:id="25"/>
      <w:bookmarkEnd w:id="26"/>
      <w:bookmarkEnd w:id="27"/>
      <w:bookmarkEnd w:id="28"/>
      <w:bookmarkEnd w:id="29"/>
    </w:p>
    <w:p w14:paraId="130F3E2E">
      <w:pPr>
        <w:keepNext w:val="0"/>
        <w:keepLines w:val="0"/>
        <w:pageBreakBefore w:val="0"/>
        <w:kinsoku/>
        <w:wordWrap/>
        <w:overflowPunct/>
        <w:topLinePunct w:val="0"/>
        <w:autoSpaceDE/>
        <w:autoSpaceDN/>
        <w:bidi w:val="0"/>
        <w:adjustRightInd/>
        <w:snapToGrid/>
        <w:spacing w:line="240" w:lineRule="auto"/>
        <w:ind w:firstLine="420" w:firstLineChars="0"/>
        <w:jc w:val="left"/>
        <w:textAlignment w:val="auto"/>
        <w:rPr>
          <w:rFonts w:hint="eastAsia" w:ascii="宋体" w:hAnsi="宋体" w:eastAsia="宋体" w:cs="宋体"/>
          <w:color w:val="auto"/>
          <w:sz w:val="24"/>
          <w:szCs w:val="32"/>
          <w:u w:val="none"/>
          <w:lang w:val="en-US" w:eastAsia="zh-CN"/>
        </w:rPr>
      </w:pPr>
      <w:r>
        <w:rPr>
          <w:rFonts w:hint="eastAsia" w:ascii="宋体" w:hAnsi="宋体" w:eastAsia="宋体" w:cs="宋体"/>
          <w:sz w:val="24"/>
          <w:szCs w:val="32"/>
          <w:lang w:val="en-US" w:eastAsia="zh-CN"/>
        </w:rPr>
        <w:t>1.</w:t>
      </w:r>
      <w:r>
        <w:rPr>
          <w:rFonts w:hint="eastAsia" w:ascii="宋体" w:hAnsi="宋体" w:eastAsia="宋体" w:cs="宋体"/>
          <w:color w:val="auto"/>
          <w:sz w:val="24"/>
          <w:szCs w:val="32"/>
          <w:u w:val="none"/>
          <w:lang w:val="en-US" w:eastAsia="zh-CN"/>
        </w:rPr>
        <w:t>学员登录陵川县人民政府官网（网址：http://www.lczf.gov.cn/）首页，点击“陵川县专业技术人员继续教育入口”进入学习平台：晋城市陵川县专业技术人员继续教育培训平台（网址：https://jclcx.zgzjzj.com）。</w:t>
      </w:r>
    </w:p>
    <w:p w14:paraId="2B55B929">
      <w:pPr>
        <w:keepNext w:val="0"/>
        <w:keepLines w:val="0"/>
        <w:pageBreakBefore w:val="0"/>
        <w:kinsoku/>
        <w:wordWrap/>
        <w:overflowPunct/>
        <w:topLinePunct w:val="0"/>
        <w:autoSpaceDE/>
        <w:autoSpaceDN/>
        <w:bidi w:val="0"/>
        <w:adjustRightInd/>
        <w:snapToGrid/>
        <w:spacing w:line="240" w:lineRule="auto"/>
        <w:jc w:val="left"/>
        <w:textAlignment w:val="auto"/>
        <w:rPr>
          <w:rFonts w:hint="eastAsia"/>
          <w:lang w:val="en-US" w:eastAsia="zh-CN"/>
        </w:rPr>
      </w:pPr>
      <w:r>
        <w:drawing>
          <wp:inline distT="0" distB="0" distL="114300" distR="114300">
            <wp:extent cx="5260340" cy="2199640"/>
            <wp:effectExtent l="9525" t="9525" r="26035" b="1968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5"/>
                    <a:stretch>
                      <a:fillRect/>
                    </a:stretch>
                  </pic:blipFill>
                  <pic:spPr>
                    <a:xfrm>
                      <a:off x="0" y="0"/>
                      <a:ext cx="5260340" cy="2199640"/>
                    </a:xfrm>
                    <a:prstGeom prst="rect">
                      <a:avLst/>
                    </a:prstGeom>
                    <a:noFill/>
                    <a:ln>
                      <a:solidFill>
                        <a:schemeClr val="tx1"/>
                      </a:solidFill>
                    </a:ln>
                  </pic:spPr>
                </pic:pic>
              </a:graphicData>
            </a:graphic>
          </wp:inline>
        </w:drawing>
      </w:r>
    </w:p>
    <w:p w14:paraId="5713CDF1">
      <w:pPr>
        <w:jc w:val="left"/>
        <w:outlineLvl w:val="0"/>
        <w:rPr>
          <w:rFonts w:hint="eastAsia"/>
          <w:b/>
          <w:bCs/>
          <w:sz w:val="28"/>
          <w:szCs w:val="28"/>
          <w:lang w:val="en-US" w:eastAsia="zh-CN"/>
        </w:rPr>
      </w:pPr>
      <w:bookmarkStart w:id="30" w:name="_Toc24846"/>
      <w:bookmarkStart w:id="31" w:name="_Toc3116"/>
      <w:bookmarkStart w:id="32" w:name="_Toc29503"/>
      <w:bookmarkStart w:id="33" w:name="_Toc3574"/>
      <w:r>
        <w:rPr>
          <w:rFonts w:hint="eastAsia"/>
          <w:b/>
          <w:bCs/>
          <w:sz w:val="28"/>
          <w:szCs w:val="28"/>
          <w:lang w:val="en-US" w:eastAsia="zh-CN"/>
        </w:rPr>
        <w:t>三、登录、注册账户：</w:t>
      </w:r>
      <w:bookmarkEnd w:id="30"/>
      <w:bookmarkEnd w:id="31"/>
      <w:bookmarkEnd w:id="32"/>
      <w:bookmarkEnd w:id="33"/>
    </w:p>
    <w:p w14:paraId="2C11A3A2">
      <w:pPr>
        <w:ind w:firstLine="480" w:firstLineChars="20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1.进入首页后，点击右上角的“登录/注册”按钮，在弹出框内,如果您已注册可以输入身份证号密码直接登录，如果您未注册选择“注册账号”。</w:t>
      </w:r>
    </w:p>
    <w:p w14:paraId="464FE0E8">
      <w:pPr>
        <w:jc w:val="center"/>
        <w:rPr>
          <w:rFonts w:hint="eastAsia"/>
          <w:lang w:val="en-US" w:eastAsia="zh-CN"/>
        </w:rPr>
      </w:pPr>
      <w:r>
        <w:drawing>
          <wp:inline distT="0" distB="0" distL="114300" distR="114300">
            <wp:extent cx="5266690" cy="2285365"/>
            <wp:effectExtent l="9525" t="9525" r="19685" b="1016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6"/>
                    <a:stretch>
                      <a:fillRect/>
                    </a:stretch>
                  </pic:blipFill>
                  <pic:spPr>
                    <a:xfrm>
                      <a:off x="0" y="0"/>
                      <a:ext cx="5266690" cy="2285365"/>
                    </a:xfrm>
                    <a:prstGeom prst="rect">
                      <a:avLst/>
                    </a:prstGeom>
                    <a:noFill/>
                    <a:ln>
                      <a:solidFill>
                        <a:schemeClr val="tx1"/>
                      </a:solidFill>
                    </a:ln>
                  </pic:spPr>
                </pic:pic>
              </a:graphicData>
            </a:graphic>
          </wp:inline>
        </w:drawing>
      </w:r>
    </w:p>
    <w:p w14:paraId="77052BB8">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bCs/>
          <w:sz w:val="24"/>
          <w:szCs w:val="24"/>
          <w:lang w:val="en-US" w:eastAsia="zh-CN"/>
        </w:rPr>
      </w:pPr>
      <w:bookmarkStart w:id="34" w:name="_Toc26056"/>
      <w:r>
        <w:rPr>
          <w:rFonts w:hint="eastAsia" w:ascii="宋体" w:hAnsi="宋体" w:eastAsia="宋体" w:cs="宋体"/>
          <w:b w:val="0"/>
          <w:bCs w:val="0"/>
          <w:sz w:val="24"/>
          <w:szCs w:val="24"/>
          <w:lang w:val="en-US" w:eastAsia="zh-CN"/>
        </w:rPr>
        <w:t>2.在学员注册页面，根据该地区注册项将所有必填信息进行完善，且仔细阅读注册协议并勾选后，点击“注册”即可成功，注册成功后即可进入个人账户。</w:t>
      </w:r>
    </w:p>
    <w:p w14:paraId="47123A7D">
      <w:pPr>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2"/>
          <w:szCs w:val="22"/>
          <w:lang w:val="en-US" w:eastAsia="zh-CN"/>
        </w:rPr>
      </w:pPr>
      <w:r>
        <w:rPr>
          <w:rFonts w:hint="eastAsia" w:ascii="宋体" w:hAnsi="宋体" w:eastAsia="宋体" w:cs="宋体"/>
          <w:b/>
          <w:bCs/>
          <w:color w:val="FF0000"/>
          <w:sz w:val="22"/>
          <w:szCs w:val="22"/>
          <w:lang w:val="en-US" w:eastAsia="zh-CN"/>
        </w:rPr>
        <w:t>注：</w:t>
      </w:r>
      <w:r>
        <w:rPr>
          <w:rFonts w:hint="eastAsia" w:ascii="宋体" w:hAnsi="宋体" w:eastAsia="宋体" w:cs="宋体"/>
          <w:b/>
          <w:bCs/>
          <w:color w:val="FF0000"/>
          <w:sz w:val="22"/>
          <w:szCs w:val="22"/>
          <w:highlight w:val="none"/>
          <w:lang w:val="en-US" w:eastAsia="zh-CN"/>
        </w:rPr>
        <w:t>身份证号作为登录唯一凭证，请务必填写真实有效且正确的身份证号；手机号和邮箱作为后期忘记密码使用，请填写您正在使用中的正确手机号和邮箱。</w:t>
      </w:r>
      <w:bookmarkEnd w:id="34"/>
    </w:p>
    <w:p w14:paraId="67989DD6">
      <w:pPr>
        <w:jc w:val="center"/>
        <w:rPr>
          <w:rFonts w:hint="eastAsia"/>
          <w:lang w:val="en-US" w:eastAsia="zh-CN"/>
        </w:rPr>
      </w:pPr>
      <w:r>
        <w:drawing>
          <wp:inline distT="0" distB="0" distL="114300" distR="114300">
            <wp:extent cx="5268595" cy="4255135"/>
            <wp:effectExtent l="9525" t="9525" r="17780" b="2159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7"/>
                    <a:stretch>
                      <a:fillRect/>
                    </a:stretch>
                  </pic:blipFill>
                  <pic:spPr>
                    <a:xfrm>
                      <a:off x="0" y="0"/>
                      <a:ext cx="5268595" cy="4255135"/>
                    </a:xfrm>
                    <a:prstGeom prst="rect">
                      <a:avLst/>
                    </a:prstGeom>
                    <a:noFill/>
                    <a:ln>
                      <a:solidFill>
                        <a:schemeClr val="tx1"/>
                      </a:solidFill>
                    </a:ln>
                  </pic:spPr>
                </pic:pic>
              </a:graphicData>
            </a:graphic>
          </wp:inline>
        </w:drawing>
      </w:r>
    </w:p>
    <w:p w14:paraId="53CC940A">
      <w:pPr>
        <w:jc w:val="left"/>
        <w:outlineLvl w:val="0"/>
        <w:rPr>
          <w:rFonts w:hint="default"/>
          <w:b/>
          <w:bCs/>
          <w:sz w:val="28"/>
          <w:szCs w:val="28"/>
          <w:lang w:val="en-US" w:eastAsia="zh-CN"/>
        </w:rPr>
      </w:pPr>
      <w:bookmarkStart w:id="35" w:name="_Toc16420"/>
      <w:bookmarkStart w:id="36" w:name="_Toc19770"/>
      <w:bookmarkStart w:id="37" w:name="_Toc1317"/>
      <w:bookmarkStart w:id="38" w:name="_Toc544"/>
      <w:bookmarkStart w:id="39" w:name="_Toc5612"/>
      <w:bookmarkStart w:id="40" w:name="_Toc31632"/>
      <w:bookmarkStart w:id="41" w:name="_Toc26689"/>
      <w:r>
        <w:rPr>
          <w:rFonts w:hint="eastAsia"/>
          <w:b/>
          <w:bCs/>
          <w:sz w:val="28"/>
          <w:szCs w:val="28"/>
          <w:lang w:val="en-US" w:eastAsia="zh-CN"/>
        </w:rPr>
        <w:t>四、集体报名</w:t>
      </w:r>
      <w:bookmarkEnd w:id="35"/>
      <w:bookmarkEnd w:id="36"/>
      <w:bookmarkEnd w:id="37"/>
      <w:r>
        <w:rPr>
          <w:rFonts w:hint="eastAsia"/>
          <w:b/>
          <w:bCs/>
          <w:sz w:val="28"/>
          <w:szCs w:val="28"/>
          <w:lang w:val="en-US" w:eastAsia="zh-CN"/>
        </w:rPr>
        <w:t>注意事项：</w:t>
      </w:r>
      <w:bookmarkEnd w:id="38"/>
      <w:bookmarkEnd w:id="39"/>
      <w:bookmarkEnd w:id="40"/>
      <w:bookmarkEnd w:id="41"/>
    </w:p>
    <w:p w14:paraId="67077A56">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sz w:val="24"/>
          <w:szCs w:val="24"/>
          <w:lang w:val="en-US" w:eastAsia="zh-CN"/>
        </w:rPr>
      </w:pPr>
      <w:bookmarkStart w:id="42" w:name="_Toc12766"/>
      <w:bookmarkStart w:id="43" w:name="_Toc11657"/>
      <w:bookmarkStart w:id="44" w:name="_Toc201"/>
      <w:bookmarkStart w:id="45" w:name="_Toc14290"/>
      <w:bookmarkStart w:id="46" w:name="_Toc13785"/>
      <w:r>
        <w:rPr>
          <w:rFonts w:hint="eastAsia" w:ascii="宋体" w:hAnsi="宋体" w:eastAsia="宋体" w:cs="宋体"/>
          <w:sz w:val="24"/>
          <w:szCs w:val="24"/>
          <w:lang w:val="en-US" w:eastAsia="zh-CN"/>
        </w:rPr>
        <w:t>1.单位管理员可进行集体报名，当平台收到相关集体报名人员信息后，会在后台进行集体开通，如前期学员</w:t>
      </w:r>
      <w:r>
        <w:rPr>
          <w:rFonts w:hint="eastAsia" w:ascii="宋体" w:hAnsi="宋体" w:eastAsia="宋体" w:cs="宋体"/>
          <w:b/>
          <w:bCs/>
          <w:color w:val="FF0000"/>
          <w:sz w:val="24"/>
          <w:szCs w:val="24"/>
          <w:lang w:val="en-US" w:eastAsia="zh-CN"/>
        </w:rPr>
        <w:t>已在前台自行注册，登录密码为自行设置的密码</w:t>
      </w:r>
      <w:r>
        <w:rPr>
          <w:rFonts w:hint="eastAsia" w:ascii="宋体" w:hAnsi="宋体" w:eastAsia="宋体" w:cs="宋体"/>
          <w:sz w:val="24"/>
          <w:szCs w:val="24"/>
          <w:lang w:val="en-US" w:eastAsia="zh-CN"/>
        </w:rPr>
        <w:t>，如学员未注册账户，后台集体开通时自动导入的学员账户，密码默认为</w:t>
      </w:r>
      <w:r>
        <w:rPr>
          <w:rFonts w:hint="eastAsia" w:ascii="宋体" w:hAnsi="宋体" w:eastAsia="宋体" w:cs="宋体"/>
          <w:b/>
          <w:bCs/>
          <w:color w:val="FF0000"/>
          <w:sz w:val="24"/>
          <w:szCs w:val="24"/>
          <w:lang w:val="en-US" w:eastAsia="zh-CN"/>
        </w:rPr>
        <w:t>zjtx+身份证号后6位</w:t>
      </w:r>
      <w:bookmarkEnd w:id="42"/>
      <w:bookmarkEnd w:id="43"/>
      <w:bookmarkEnd w:id="44"/>
      <w:bookmarkEnd w:id="45"/>
      <w:r>
        <w:rPr>
          <w:rFonts w:hint="eastAsia" w:ascii="宋体" w:hAnsi="宋体" w:eastAsia="宋体" w:cs="宋体"/>
          <w:sz w:val="24"/>
          <w:szCs w:val="24"/>
          <w:lang w:val="en-US" w:eastAsia="zh-CN"/>
        </w:rPr>
        <w:t>。</w:t>
      </w:r>
      <w:bookmarkEnd w:id="46"/>
    </w:p>
    <w:p w14:paraId="1AC8D90D">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2.陵川县2025年的公需+专业计划，支持</w:t>
      </w:r>
      <w:r>
        <w:rPr>
          <w:rFonts w:hint="eastAsia" w:ascii="宋体" w:hAnsi="宋体" w:eastAsia="宋体" w:cs="宋体"/>
          <w:b w:val="0"/>
          <w:bCs w:val="0"/>
          <w:color w:val="auto"/>
          <w:sz w:val="24"/>
          <w:szCs w:val="24"/>
          <w:lang w:val="en-US" w:eastAsia="zh-CN"/>
        </w:rPr>
        <w:t>集体报名</w:t>
      </w:r>
      <w:r>
        <w:rPr>
          <w:rFonts w:hint="eastAsia" w:ascii="宋体" w:hAnsi="宋体" w:eastAsia="宋体" w:cs="宋体"/>
          <w:sz w:val="24"/>
          <w:szCs w:val="24"/>
          <w:lang w:val="en-US" w:eastAsia="zh-CN"/>
        </w:rPr>
        <w:t>方式，注意的是专业课计划</w:t>
      </w:r>
      <w:r>
        <w:rPr>
          <w:rFonts w:hint="eastAsia" w:ascii="宋体" w:hAnsi="宋体" w:eastAsia="宋体" w:cs="宋体"/>
          <w:b/>
          <w:bCs/>
          <w:color w:val="FF0000"/>
          <w:sz w:val="24"/>
          <w:szCs w:val="24"/>
          <w:lang w:val="en-US" w:eastAsia="zh-CN"/>
        </w:rPr>
        <w:t>集体报名仅限60学时</w:t>
      </w:r>
      <w:r>
        <w:rPr>
          <w:rFonts w:hint="eastAsia" w:ascii="宋体" w:hAnsi="宋体" w:eastAsia="宋体" w:cs="宋体"/>
          <w:sz w:val="24"/>
          <w:szCs w:val="24"/>
          <w:lang w:val="en-US" w:eastAsia="zh-CN"/>
        </w:rPr>
        <w:t>，其余学时支持在线支付。</w:t>
      </w:r>
    </w:p>
    <w:p w14:paraId="44C8264D">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3.如单位已集体报名，个人无需在线支付，在接到单位通知后，登陆个人账户，点击学习中心选课即可学习。</w:t>
      </w:r>
    </w:p>
    <w:p w14:paraId="7F15BE5A">
      <w:pPr>
        <w:jc w:val="left"/>
        <w:outlineLvl w:val="0"/>
        <w:rPr>
          <w:rFonts w:hint="eastAsia"/>
          <w:b/>
          <w:bCs/>
          <w:sz w:val="28"/>
          <w:szCs w:val="28"/>
          <w:lang w:val="en-US" w:eastAsia="zh-CN"/>
        </w:rPr>
      </w:pPr>
      <w:bookmarkStart w:id="47" w:name="_Toc7239"/>
      <w:bookmarkStart w:id="48" w:name="_Toc30602"/>
      <w:bookmarkStart w:id="49" w:name="_Toc22229"/>
      <w:bookmarkStart w:id="50" w:name="_Toc24279"/>
      <w:r>
        <w:rPr>
          <w:rFonts w:hint="eastAsia"/>
          <w:b/>
          <w:bCs/>
          <w:sz w:val="28"/>
          <w:szCs w:val="28"/>
          <w:lang w:val="en-US" w:eastAsia="zh-CN"/>
        </w:rPr>
        <w:t>五、个人在线支付</w:t>
      </w:r>
      <w:bookmarkStart w:id="51" w:name="_Toc31611"/>
      <w:r>
        <w:rPr>
          <w:rFonts w:hint="eastAsia"/>
          <w:b/>
          <w:bCs/>
          <w:sz w:val="28"/>
          <w:szCs w:val="28"/>
          <w:lang w:val="en-US" w:eastAsia="zh-CN"/>
        </w:rPr>
        <w:t>选课激活流程：</w:t>
      </w:r>
      <w:bookmarkEnd w:id="47"/>
      <w:bookmarkEnd w:id="48"/>
      <w:bookmarkEnd w:id="49"/>
      <w:bookmarkEnd w:id="50"/>
      <w:bookmarkEnd w:id="51"/>
    </w:p>
    <w:p w14:paraId="7AEF58B8">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1.选择公需计划：</w:t>
      </w:r>
    </w:p>
    <w:p w14:paraId="25A8D064">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b w:val="0"/>
          <w:bCs/>
          <w:sz w:val="24"/>
          <w:szCs w:val="24"/>
          <w:lang w:val="en-US" w:eastAsia="zh-CN"/>
        </w:rPr>
      </w:pPr>
      <w:r>
        <w:rPr>
          <w:rFonts w:hint="eastAsia" w:ascii="宋体" w:hAnsi="宋体" w:eastAsia="宋体" w:cs="宋体"/>
          <w:b w:val="0"/>
          <w:bCs w:val="0"/>
          <w:sz w:val="24"/>
          <w:szCs w:val="24"/>
          <w:lang w:val="en-US" w:eastAsia="zh-CN"/>
        </w:rPr>
        <w:t>1）点击“计划列表</w:t>
      </w:r>
      <w:r>
        <w:rPr>
          <w:rFonts w:hint="eastAsia" w:ascii="宋体" w:hAnsi="宋体" w:eastAsia="宋体" w:cs="宋体"/>
          <w:b w:val="0"/>
          <w:bCs/>
          <w:sz w:val="24"/>
          <w:szCs w:val="24"/>
          <w:lang w:val="en-US" w:eastAsia="zh-CN"/>
        </w:rPr>
        <w:t>”，请在“计划列表”中选择您需要培训的计划名称：《2025年陵川县专业技术人员继续教育培训公需科目》，点击计划后方“激活”按钮。</w:t>
      </w:r>
    </w:p>
    <w:p w14:paraId="4371409C">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val="0"/>
          <w:bCs/>
          <w:sz w:val="28"/>
          <w:szCs w:val="28"/>
          <w:lang w:val="en-US" w:eastAsia="zh-CN"/>
        </w:rPr>
      </w:pPr>
      <w:r>
        <w:drawing>
          <wp:inline distT="0" distB="0" distL="114300" distR="114300">
            <wp:extent cx="5271770" cy="2079625"/>
            <wp:effectExtent l="9525" t="9525" r="14605" b="2540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5271770" cy="2079625"/>
                    </a:xfrm>
                    <a:prstGeom prst="rect">
                      <a:avLst/>
                    </a:prstGeom>
                    <a:noFill/>
                    <a:ln>
                      <a:solidFill>
                        <a:schemeClr val="tx1"/>
                      </a:solidFill>
                    </a:ln>
                  </pic:spPr>
                </pic:pic>
              </a:graphicData>
            </a:graphic>
          </wp:inline>
        </w:drawing>
      </w:r>
    </w:p>
    <w:p w14:paraId="202F52BA">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8"/>
          <w:szCs w:val="28"/>
          <w:lang w:val="en-US" w:eastAsia="zh-CN"/>
        </w:rPr>
      </w:pPr>
      <w:r>
        <w:rPr>
          <w:rFonts w:hint="eastAsia" w:ascii="宋体" w:hAnsi="宋体" w:eastAsia="宋体" w:cs="宋体"/>
          <w:sz w:val="24"/>
          <w:szCs w:val="24"/>
          <w:lang w:val="en-US" w:eastAsia="zh-CN"/>
        </w:rPr>
        <w:t>2）按照页面下方激活要求手动勾选30学时公需课，或者</w:t>
      </w:r>
      <w:r>
        <w:rPr>
          <w:rFonts w:hint="eastAsia" w:ascii="宋体" w:hAnsi="宋体" w:eastAsia="宋体" w:cs="宋体"/>
          <w:sz w:val="24"/>
          <w:szCs w:val="24"/>
          <w:highlight w:val="yellow"/>
          <w:lang w:val="en-US" w:eastAsia="zh-CN"/>
        </w:rPr>
        <w:t>一键选课</w:t>
      </w:r>
      <w:r>
        <w:rPr>
          <w:rFonts w:hint="eastAsia" w:ascii="宋体" w:hAnsi="宋体" w:eastAsia="宋体" w:cs="宋体"/>
          <w:sz w:val="24"/>
          <w:szCs w:val="24"/>
          <w:lang w:val="en-US" w:eastAsia="zh-CN"/>
        </w:rPr>
        <w:t>30学时，即可点击“激活计划”。</w:t>
      </w:r>
    </w:p>
    <w:p w14:paraId="52E7185A">
      <w:pPr>
        <w:ind w:left="0" w:leftChars="0" w:firstLine="0" w:firstLineChars="0"/>
        <w:jc w:val="center"/>
        <w:rPr>
          <w:rFonts w:hint="eastAsia"/>
        </w:rPr>
      </w:pPr>
      <w:r>
        <w:drawing>
          <wp:inline distT="0" distB="0" distL="114300" distR="114300">
            <wp:extent cx="5264150" cy="2632075"/>
            <wp:effectExtent l="9525" t="9525" r="22225" b="2540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9"/>
                    <a:stretch>
                      <a:fillRect/>
                    </a:stretch>
                  </pic:blipFill>
                  <pic:spPr>
                    <a:xfrm>
                      <a:off x="0" y="0"/>
                      <a:ext cx="5264150" cy="2632075"/>
                    </a:xfrm>
                    <a:prstGeom prst="rect">
                      <a:avLst/>
                    </a:prstGeom>
                    <a:noFill/>
                    <a:ln>
                      <a:solidFill>
                        <a:schemeClr val="tx1"/>
                      </a:solidFill>
                    </a:ln>
                  </pic:spPr>
                </pic:pic>
              </a:graphicData>
            </a:graphic>
          </wp:inline>
        </w:drawing>
      </w:r>
    </w:p>
    <w:p w14:paraId="5BC66E25">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2.选择专业计划：</w:t>
      </w:r>
    </w:p>
    <w:p w14:paraId="56EF6ED4">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1）如需激活《2025年陵川县专业技术人员继续教育培训专业科目》，点击计划后方“激活”按钮。</w:t>
      </w:r>
    </w:p>
    <w:p w14:paraId="2E27FA0B">
      <w:pPr>
        <w:keepNext w:val="0"/>
        <w:keepLines w:val="0"/>
        <w:pageBreakBefore w:val="0"/>
        <w:widowControl w:val="0"/>
        <w:kinsoku/>
        <w:wordWrap/>
        <w:overflowPunct/>
        <w:topLinePunct w:val="0"/>
        <w:autoSpaceDE/>
        <w:autoSpaceDN/>
        <w:bidi w:val="0"/>
        <w:adjustRightInd/>
        <w:snapToGrid/>
        <w:ind w:left="-407" w:leftChars="-194" w:firstLine="420" w:firstLineChars="0"/>
        <w:jc w:val="center"/>
        <w:textAlignment w:val="auto"/>
      </w:pPr>
      <w:r>
        <w:drawing>
          <wp:inline distT="0" distB="0" distL="114300" distR="114300">
            <wp:extent cx="5272405" cy="1959610"/>
            <wp:effectExtent l="9525" t="9525" r="13970" b="1206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0"/>
                    <a:stretch>
                      <a:fillRect/>
                    </a:stretch>
                  </pic:blipFill>
                  <pic:spPr>
                    <a:xfrm>
                      <a:off x="0" y="0"/>
                      <a:ext cx="5272405" cy="1959610"/>
                    </a:xfrm>
                    <a:prstGeom prst="rect">
                      <a:avLst/>
                    </a:prstGeom>
                    <a:noFill/>
                    <a:ln>
                      <a:solidFill>
                        <a:schemeClr val="tx1"/>
                      </a:solidFill>
                    </a:ln>
                  </pic:spPr>
                </pic:pic>
              </a:graphicData>
            </a:graphic>
          </wp:inline>
        </w:drawing>
      </w:r>
    </w:p>
    <w:p w14:paraId="4029D473">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2）按照页面下方激活要求勾选您需要的专业课，课程选择无误后，可点击“立即激活”或者</w:t>
      </w:r>
      <w:r>
        <w:rPr>
          <w:rFonts w:hint="eastAsia" w:ascii="宋体" w:hAnsi="宋体" w:eastAsia="宋体" w:cs="宋体"/>
          <w:sz w:val="24"/>
          <w:szCs w:val="24"/>
          <w:highlight w:val="yellow"/>
          <w:lang w:val="en-US" w:eastAsia="zh-CN"/>
        </w:rPr>
        <w:t>快速选课</w:t>
      </w:r>
      <w:r>
        <w:rPr>
          <w:rFonts w:hint="eastAsia" w:ascii="宋体" w:hAnsi="宋体" w:eastAsia="宋体" w:cs="宋体"/>
          <w:sz w:val="24"/>
          <w:szCs w:val="24"/>
          <w:lang w:val="en-US" w:eastAsia="zh-CN"/>
        </w:rPr>
        <w:t>。</w:t>
      </w:r>
    </w:p>
    <w:p w14:paraId="53E096A9">
      <w:pPr>
        <w:jc w:val="center"/>
      </w:pPr>
      <w:r>
        <w:drawing>
          <wp:inline distT="0" distB="0" distL="114300" distR="114300">
            <wp:extent cx="5271770" cy="3890010"/>
            <wp:effectExtent l="9525" t="9525" r="14605" b="2476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1"/>
                    <a:stretch>
                      <a:fillRect/>
                    </a:stretch>
                  </pic:blipFill>
                  <pic:spPr>
                    <a:xfrm>
                      <a:off x="0" y="0"/>
                      <a:ext cx="5271770" cy="3890010"/>
                    </a:xfrm>
                    <a:prstGeom prst="rect">
                      <a:avLst/>
                    </a:prstGeom>
                    <a:noFill/>
                    <a:ln>
                      <a:solidFill>
                        <a:schemeClr val="tx1"/>
                      </a:solidFill>
                    </a:ln>
                  </pic:spPr>
                </pic:pic>
              </a:graphicData>
            </a:graphic>
          </wp:inline>
        </w:drawing>
      </w:r>
    </w:p>
    <w:p w14:paraId="2C6BBCFB">
      <w:pPr>
        <w:numPr>
          <w:ilvl w:val="0"/>
          <w:numId w:val="0"/>
        </w:numPr>
        <w:ind w:firstLine="480" w:firstLineChars="200"/>
        <w:jc w:val="both"/>
        <w:outlineLvl w:val="1"/>
        <w:rPr>
          <w:rFonts w:hint="eastAsia" w:ascii="宋体" w:hAnsi="宋体" w:eastAsia="宋体" w:cs="宋体"/>
          <w:b w:val="0"/>
          <w:bCs w:val="0"/>
          <w:sz w:val="24"/>
          <w:szCs w:val="24"/>
          <w:lang w:val="en-US"/>
        </w:rPr>
      </w:pPr>
      <w:r>
        <w:rPr>
          <w:rFonts w:hint="eastAsia" w:ascii="宋体" w:hAnsi="宋体" w:eastAsia="宋体" w:cs="宋体"/>
          <w:b w:val="0"/>
          <w:bCs w:val="0"/>
          <w:sz w:val="24"/>
          <w:szCs w:val="24"/>
          <w:lang w:val="en-US" w:eastAsia="zh-CN"/>
        </w:rPr>
        <w:t>3.确认选择的计划无误后，点击“提交订单”，即可进入付款页面。</w:t>
      </w:r>
      <w:r>
        <w:rPr>
          <w:rFonts w:hint="eastAsia" w:ascii="宋体" w:hAnsi="宋体" w:eastAsia="宋体" w:cs="宋体"/>
          <w:b/>
          <w:bCs/>
          <w:color w:val="FF0000"/>
          <w:sz w:val="24"/>
          <w:szCs w:val="24"/>
          <w:lang w:val="en-US" w:eastAsia="zh-CN"/>
        </w:rPr>
        <w:t>注：</w:t>
      </w:r>
      <w:r>
        <w:rPr>
          <w:rFonts w:hint="eastAsia" w:ascii="宋体" w:hAnsi="宋体" w:eastAsia="宋体" w:cs="宋体"/>
          <w:b w:val="0"/>
          <w:bCs w:val="0"/>
          <w:sz w:val="24"/>
          <w:szCs w:val="24"/>
          <w:lang w:val="en-US" w:eastAsia="zh-CN"/>
        </w:rPr>
        <w:t>付款前如确认开票信息，可在是否开票位置点击“是”，根据报销处要求进行填写开票信息后保存，若付款前无法确认开票信息，可先点击“否”，后期进行补开即可。</w:t>
      </w:r>
    </w:p>
    <w:p w14:paraId="5DB3B25B">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sz w:val="28"/>
          <w:szCs w:val="28"/>
        </w:rPr>
      </w:pPr>
      <w:r>
        <w:drawing>
          <wp:inline distT="0" distB="0" distL="114300" distR="114300">
            <wp:extent cx="5262245" cy="2496185"/>
            <wp:effectExtent l="9525" t="9525" r="24130" b="2794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12"/>
                    <a:stretch>
                      <a:fillRect/>
                    </a:stretch>
                  </pic:blipFill>
                  <pic:spPr>
                    <a:xfrm>
                      <a:off x="0" y="0"/>
                      <a:ext cx="5262245" cy="2496185"/>
                    </a:xfrm>
                    <a:prstGeom prst="rect">
                      <a:avLst/>
                    </a:prstGeom>
                    <a:noFill/>
                    <a:ln>
                      <a:solidFill>
                        <a:schemeClr val="tx1"/>
                      </a:solidFill>
                    </a:ln>
                  </pic:spPr>
                </pic:pic>
              </a:graphicData>
            </a:graphic>
          </wp:inline>
        </w:drawing>
      </w:r>
    </w:p>
    <w:p w14:paraId="042BA76B">
      <w:pPr>
        <w:ind w:firstLine="420" w:firstLineChars="0"/>
        <w:jc w:val="both"/>
        <w:outlineLvl w:val="1"/>
        <w:rPr>
          <w:rFonts w:hint="eastAsia" w:ascii="宋体" w:hAnsi="宋体" w:eastAsia="宋体" w:cs="宋体"/>
          <w:b w:val="0"/>
          <w:bCs w:val="0"/>
          <w:sz w:val="24"/>
          <w:szCs w:val="24"/>
          <w:lang w:val="en-US"/>
        </w:rPr>
      </w:pPr>
      <w:r>
        <w:rPr>
          <w:rFonts w:hint="eastAsia" w:ascii="宋体" w:hAnsi="宋体" w:eastAsia="宋体" w:cs="宋体"/>
          <w:b w:val="0"/>
          <w:bCs w:val="0"/>
          <w:sz w:val="24"/>
          <w:szCs w:val="24"/>
          <w:lang w:val="en-US" w:eastAsia="zh-CN"/>
        </w:rPr>
        <w:t>4.平台在线支付分为支付宝、微信两种方式，请选择相应支付方式后进行扫码支付。</w:t>
      </w:r>
    </w:p>
    <w:p w14:paraId="327F9268">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hint="eastAsia"/>
        </w:rPr>
      </w:pPr>
      <w:r>
        <w:drawing>
          <wp:inline distT="0" distB="0" distL="114300" distR="114300">
            <wp:extent cx="4646930" cy="2879725"/>
            <wp:effectExtent l="9525" t="9525" r="10795" b="25400"/>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13"/>
                    <a:stretch>
                      <a:fillRect/>
                    </a:stretch>
                  </pic:blipFill>
                  <pic:spPr>
                    <a:xfrm>
                      <a:off x="0" y="0"/>
                      <a:ext cx="4646930" cy="2879725"/>
                    </a:xfrm>
                    <a:prstGeom prst="rect">
                      <a:avLst/>
                    </a:prstGeom>
                    <a:noFill/>
                    <a:ln>
                      <a:solidFill>
                        <a:schemeClr val="tx1"/>
                      </a:solidFill>
                    </a:ln>
                  </pic:spPr>
                </pic:pic>
              </a:graphicData>
            </a:graphic>
          </wp:inline>
        </w:drawing>
      </w:r>
    </w:p>
    <w:p w14:paraId="7EEFEED7">
      <w:pPr>
        <w:numPr>
          <w:ilvl w:val="0"/>
          <w:numId w:val="0"/>
        </w:numPr>
        <w:ind w:firstLine="480" w:firstLineChars="200"/>
        <w:jc w:val="both"/>
        <w:outlineLvl w:val="1"/>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5.支付成功后，点击“去学习”即可跳转至学习中心页面开始您的学习。</w:t>
      </w:r>
    </w:p>
    <w:p w14:paraId="4DD557A0">
      <w:pPr>
        <w:jc w:val="center"/>
        <w:rPr>
          <w:rFonts w:hint="eastAsia"/>
          <w:lang w:val="en-US" w:eastAsia="zh-CN"/>
        </w:rPr>
      </w:pPr>
      <w:r>
        <w:drawing>
          <wp:inline distT="0" distB="0" distL="114300" distR="114300">
            <wp:extent cx="5272405" cy="2167255"/>
            <wp:effectExtent l="9525" t="9525" r="13970" b="1397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14"/>
                    <a:stretch>
                      <a:fillRect/>
                    </a:stretch>
                  </pic:blipFill>
                  <pic:spPr>
                    <a:xfrm>
                      <a:off x="0" y="0"/>
                      <a:ext cx="5272405" cy="2167255"/>
                    </a:xfrm>
                    <a:prstGeom prst="rect">
                      <a:avLst/>
                    </a:prstGeom>
                    <a:noFill/>
                    <a:ln>
                      <a:solidFill>
                        <a:schemeClr val="tx1"/>
                      </a:solidFill>
                    </a:ln>
                  </pic:spPr>
                </pic:pic>
              </a:graphicData>
            </a:graphic>
          </wp:inline>
        </w:drawing>
      </w:r>
    </w:p>
    <w:p w14:paraId="74A6E08A">
      <w:pPr>
        <w:jc w:val="left"/>
        <w:outlineLvl w:val="0"/>
        <w:rPr>
          <w:rFonts w:hint="eastAsia"/>
          <w:b/>
          <w:bCs/>
          <w:sz w:val="28"/>
          <w:szCs w:val="28"/>
        </w:rPr>
      </w:pPr>
      <w:bookmarkStart w:id="52" w:name="_Toc905"/>
      <w:bookmarkStart w:id="53" w:name="_Toc10507"/>
      <w:bookmarkStart w:id="54" w:name="_Toc7116"/>
      <w:bookmarkStart w:id="55" w:name="_Toc15511"/>
      <w:bookmarkStart w:id="56" w:name="_Toc6370"/>
      <w:r>
        <w:rPr>
          <w:rFonts w:hint="eastAsia"/>
          <w:b/>
          <w:bCs/>
          <w:sz w:val="28"/>
          <w:szCs w:val="28"/>
          <w:lang w:val="en-US" w:eastAsia="zh-CN"/>
        </w:rPr>
        <w:t>六、学习、考试流程：</w:t>
      </w:r>
      <w:bookmarkEnd w:id="52"/>
      <w:bookmarkEnd w:id="53"/>
      <w:bookmarkEnd w:id="54"/>
      <w:bookmarkEnd w:id="55"/>
      <w:bookmarkEnd w:id="56"/>
    </w:p>
    <w:p w14:paraId="2646DE68">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1.计划激活成功后，点击“学习中心”选择培训计划，找到需要学习的计划并点击下方的“学习”按钮。（</w:t>
      </w:r>
      <w:r>
        <w:rPr>
          <w:rFonts w:hint="eastAsia" w:ascii="宋体" w:hAnsi="宋体" w:eastAsia="宋体" w:cs="宋体"/>
          <w:color w:val="FF0000"/>
          <w:sz w:val="24"/>
          <w:szCs w:val="24"/>
          <w:lang w:val="en-US" w:eastAsia="zh-CN"/>
        </w:rPr>
        <w:t>注：专业计划无需考试</w:t>
      </w:r>
      <w:r>
        <w:rPr>
          <w:rFonts w:hint="eastAsia" w:ascii="宋体" w:hAnsi="宋体" w:eastAsia="宋体" w:cs="宋体"/>
          <w:sz w:val="24"/>
          <w:szCs w:val="24"/>
          <w:lang w:val="en-US" w:eastAsia="zh-CN"/>
        </w:rPr>
        <w:t>）</w:t>
      </w:r>
    </w:p>
    <w:p w14:paraId="3E009710">
      <w:pPr>
        <w:jc w:val="center"/>
        <w:rPr>
          <w:rFonts w:hint="eastAsia"/>
        </w:rPr>
      </w:pPr>
      <w:r>
        <w:drawing>
          <wp:inline distT="0" distB="0" distL="114300" distR="114300">
            <wp:extent cx="5274310" cy="2351405"/>
            <wp:effectExtent l="9525" t="9525" r="12065" b="20320"/>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15"/>
                    <a:stretch>
                      <a:fillRect/>
                    </a:stretch>
                  </pic:blipFill>
                  <pic:spPr>
                    <a:xfrm>
                      <a:off x="0" y="0"/>
                      <a:ext cx="5274310" cy="2351405"/>
                    </a:xfrm>
                    <a:prstGeom prst="rect">
                      <a:avLst/>
                    </a:prstGeom>
                    <a:noFill/>
                    <a:ln>
                      <a:solidFill>
                        <a:schemeClr val="tx1"/>
                      </a:solidFill>
                    </a:ln>
                  </pic:spPr>
                </pic:pic>
              </a:graphicData>
            </a:graphic>
          </wp:inline>
        </w:drawing>
      </w:r>
    </w:p>
    <w:p w14:paraId="0253B3ED">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sz w:val="28"/>
          <w:szCs w:val="36"/>
          <w:lang w:val="en-US" w:eastAsia="zh-CN"/>
        </w:rPr>
      </w:pPr>
      <w:r>
        <w:rPr>
          <w:rFonts w:hint="eastAsia" w:ascii="宋体" w:hAnsi="宋体" w:eastAsia="宋体" w:cs="宋体"/>
          <w:sz w:val="24"/>
          <w:szCs w:val="32"/>
          <w:lang w:val="en-US" w:eastAsia="zh-CN"/>
        </w:rPr>
        <w:t>2.课程列表页面展示所有您已选择的课程，点击相应课程下方的“学习”按钮，即进入此课程学习页面。</w:t>
      </w:r>
    </w:p>
    <w:p w14:paraId="387489F0">
      <w:pPr>
        <w:jc w:val="center"/>
        <w:rPr>
          <w:rFonts w:hint="eastAsia"/>
        </w:rPr>
      </w:pPr>
      <w:r>
        <w:drawing>
          <wp:inline distT="0" distB="0" distL="114300" distR="114300">
            <wp:extent cx="5265420" cy="2726690"/>
            <wp:effectExtent l="9525" t="9525" r="20955" b="26035"/>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16"/>
                    <a:stretch>
                      <a:fillRect/>
                    </a:stretch>
                  </pic:blipFill>
                  <pic:spPr>
                    <a:xfrm>
                      <a:off x="0" y="0"/>
                      <a:ext cx="5265420" cy="2726690"/>
                    </a:xfrm>
                    <a:prstGeom prst="rect">
                      <a:avLst/>
                    </a:prstGeom>
                    <a:noFill/>
                    <a:ln>
                      <a:solidFill>
                        <a:schemeClr val="tx1"/>
                      </a:solidFill>
                    </a:ln>
                  </pic:spPr>
                </pic:pic>
              </a:graphicData>
            </a:graphic>
          </wp:inline>
        </w:drawing>
      </w:r>
    </w:p>
    <w:p w14:paraId="63A3EFFC">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3.进入学习页面后，点击视频中间的播放按钮即可开始您的学习。</w:t>
      </w:r>
    </w:p>
    <w:p w14:paraId="077298B5">
      <w:pPr>
        <w:jc w:val="center"/>
        <w:rPr>
          <w:rFonts w:hint="eastAsia"/>
        </w:rPr>
      </w:pPr>
      <w:r>
        <w:drawing>
          <wp:inline distT="0" distB="0" distL="114300" distR="114300">
            <wp:extent cx="5262880" cy="2400300"/>
            <wp:effectExtent l="9525" t="9525" r="23495" b="9525"/>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17"/>
                    <a:stretch>
                      <a:fillRect/>
                    </a:stretch>
                  </pic:blipFill>
                  <pic:spPr>
                    <a:xfrm>
                      <a:off x="0" y="0"/>
                      <a:ext cx="5262880" cy="2400300"/>
                    </a:xfrm>
                    <a:prstGeom prst="rect">
                      <a:avLst/>
                    </a:prstGeom>
                    <a:noFill/>
                    <a:ln>
                      <a:solidFill>
                        <a:schemeClr val="tx1"/>
                      </a:solidFill>
                    </a:ln>
                  </pic:spPr>
                </pic:pic>
              </a:graphicData>
            </a:graphic>
          </wp:inline>
        </w:drawing>
      </w:r>
    </w:p>
    <w:p w14:paraId="1CD9DD54">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left"/>
        <w:textAlignment w:val="auto"/>
        <w:rPr>
          <w:rFonts w:hint="eastAsia" w:ascii="宋体" w:hAnsi="宋体" w:eastAsia="宋体" w:cs="宋体"/>
          <w:sz w:val="28"/>
          <w:szCs w:val="28"/>
          <w:lang w:val="en-US" w:eastAsia="zh-CN"/>
        </w:rPr>
      </w:pPr>
      <w:r>
        <w:rPr>
          <w:rFonts w:hint="eastAsia" w:ascii="宋体" w:hAnsi="宋体" w:eastAsia="宋体" w:cs="宋体"/>
          <w:sz w:val="24"/>
          <w:szCs w:val="24"/>
          <w:lang w:val="en-US" w:eastAsia="zh-CN"/>
        </w:rPr>
        <w:t>4.当计划内所有课程学习进度达到100%，在课程的右上角有一个“计划考试”按钮，点击即可进行考试。</w:t>
      </w:r>
    </w:p>
    <w:p w14:paraId="6FADF3B3">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rPr>
      </w:pPr>
      <w:r>
        <w:drawing>
          <wp:inline distT="0" distB="0" distL="114300" distR="114300">
            <wp:extent cx="5264785" cy="2780665"/>
            <wp:effectExtent l="9525" t="9525" r="21590" b="10160"/>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18"/>
                    <a:stretch>
                      <a:fillRect/>
                    </a:stretch>
                  </pic:blipFill>
                  <pic:spPr>
                    <a:xfrm>
                      <a:off x="0" y="0"/>
                      <a:ext cx="5264785" cy="2780665"/>
                    </a:xfrm>
                    <a:prstGeom prst="rect">
                      <a:avLst/>
                    </a:prstGeom>
                    <a:noFill/>
                    <a:ln>
                      <a:solidFill>
                        <a:schemeClr val="tx1"/>
                      </a:solidFill>
                    </a:ln>
                  </pic:spPr>
                </pic:pic>
              </a:graphicData>
            </a:graphic>
          </wp:inline>
        </w:drawing>
      </w:r>
    </w:p>
    <w:p w14:paraId="1C6E9B79">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5.考试页面有时间倒计时，需在倒计时结束前完成作答，当所有题目答完，答题卡的题号均会呈现“红色”，确认所有题目答题完毕后，即可点击“交卷”按钮。</w:t>
      </w:r>
    </w:p>
    <w:p w14:paraId="1E6F6F70">
      <w:pPr>
        <w:jc w:val="center"/>
        <w:rPr>
          <w:rFonts w:hint="eastAsia"/>
          <w:lang w:val="en-US" w:eastAsia="zh-CN"/>
        </w:rPr>
      </w:pPr>
      <w:r>
        <w:drawing>
          <wp:inline distT="0" distB="0" distL="114300" distR="114300">
            <wp:extent cx="5271135" cy="3818890"/>
            <wp:effectExtent l="9525" t="9525" r="15240" b="19685"/>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pic:cNvPicPr>
                  </pic:nvPicPr>
                  <pic:blipFill>
                    <a:blip r:embed="rId19"/>
                    <a:stretch>
                      <a:fillRect/>
                    </a:stretch>
                  </pic:blipFill>
                  <pic:spPr>
                    <a:xfrm>
                      <a:off x="0" y="0"/>
                      <a:ext cx="5271135" cy="3818890"/>
                    </a:xfrm>
                    <a:prstGeom prst="rect">
                      <a:avLst/>
                    </a:prstGeom>
                    <a:noFill/>
                    <a:ln>
                      <a:solidFill>
                        <a:schemeClr val="tx1"/>
                      </a:solidFill>
                    </a:ln>
                  </pic:spPr>
                </pic:pic>
              </a:graphicData>
            </a:graphic>
          </wp:inline>
        </w:drawing>
      </w:r>
    </w:p>
    <w:p w14:paraId="77822C15">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6.交卷后系统将自动弹出提示窗，确认无误后，点击“确认”即可交卷成功，且提示您本次考试成绩。</w:t>
      </w:r>
    </w:p>
    <w:p w14:paraId="1EC97571">
      <w:pPr>
        <w:jc w:val="center"/>
        <w:rPr>
          <w:rFonts w:hint="eastAsia"/>
        </w:rPr>
      </w:pPr>
      <w:r>
        <w:drawing>
          <wp:inline distT="0" distB="0" distL="114300" distR="114300">
            <wp:extent cx="5268595" cy="2141220"/>
            <wp:effectExtent l="9525" t="9525" r="17780" b="20955"/>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20"/>
                    <a:stretch>
                      <a:fillRect/>
                    </a:stretch>
                  </pic:blipFill>
                  <pic:spPr>
                    <a:xfrm>
                      <a:off x="0" y="0"/>
                      <a:ext cx="5268595" cy="2141220"/>
                    </a:xfrm>
                    <a:prstGeom prst="rect">
                      <a:avLst/>
                    </a:prstGeom>
                    <a:noFill/>
                    <a:ln>
                      <a:solidFill>
                        <a:schemeClr val="tx1"/>
                      </a:solidFill>
                    </a:ln>
                  </pic:spPr>
                </pic:pic>
              </a:graphicData>
            </a:graphic>
          </wp:inline>
        </w:drawing>
      </w:r>
    </w:p>
    <w:p w14:paraId="6EFB8688">
      <w:pPr>
        <w:keepNext w:val="0"/>
        <w:keepLines w:val="0"/>
        <w:pageBreakBefore w:val="0"/>
        <w:widowControl w:val="0"/>
        <w:numPr>
          <w:ilvl w:val="0"/>
          <w:numId w:val="0"/>
        </w:numPr>
        <w:kinsoku/>
        <w:wordWrap/>
        <w:overflowPunct/>
        <w:topLinePunct w:val="0"/>
        <w:autoSpaceDE/>
        <w:autoSpaceDN/>
        <w:bidi w:val="0"/>
        <w:adjustRightInd/>
        <w:snapToGrid/>
        <w:jc w:val="left"/>
        <w:textAlignment w:val="auto"/>
        <w:outlineLvl w:val="0"/>
        <w:rPr>
          <w:rFonts w:hint="eastAsia"/>
          <w:b/>
          <w:bCs/>
          <w:sz w:val="32"/>
          <w:szCs w:val="32"/>
          <w:lang w:val="en-US" w:eastAsia="zh-CN"/>
        </w:rPr>
      </w:pPr>
      <w:bookmarkStart w:id="57" w:name="_Toc8366"/>
      <w:bookmarkStart w:id="58" w:name="_Toc12291"/>
      <w:bookmarkStart w:id="59" w:name="_Toc18118"/>
      <w:r>
        <w:rPr>
          <w:rFonts w:hint="eastAsia"/>
          <w:b/>
          <w:bCs/>
          <w:sz w:val="28"/>
          <w:szCs w:val="28"/>
          <w:lang w:val="en-US" w:eastAsia="zh-CN"/>
        </w:rPr>
        <w:t>七、申请/下载证书：</w:t>
      </w:r>
      <w:bookmarkEnd w:id="57"/>
      <w:bookmarkEnd w:id="58"/>
      <w:bookmarkEnd w:id="59"/>
    </w:p>
    <w:p w14:paraId="65716C3B">
      <w:p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1.当学习、考试合格后，回到学习中心-培训计划模块，即可申请、下载证书。</w:t>
      </w:r>
    </w:p>
    <w:p w14:paraId="1C49C7A3">
      <w:pPr>
        <w:jc w:val="both"/>
        <w:rPr>
          <w:rFonts w:hint="eastAsia"/>
          <w:lang w:val="en-US" w:eastAsia="zh-CN"/>
        </w:rPr>
      </w:pPr>
      <w:r>
        <w:drawing>
          <wp:inline distT="0" distB="0" distL="114300" distR="114300">
            <wp:extent cx="5266055" cy="2976245"/>
            <wp:effectExtent l="9525" t="9525" r="20320" b="24130"/>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21"/>
                    <a:stretch>
                      <a:fillRect/>
                    </a:stretch>
                  </pic:blipFill>
                  <pic:spPr>
                    <a:xfrm>
                      <a:off x="0" y="0"/>
                      <a:ext cx="5266055" cy="2976245"/>
                    </a:xfrm>
                    <a:prstGeom prst="rect">
                      <a:avLst/>
                    </a:prstGeom>
                    <a:noFill/>
                    <a:ln>
                      <a:solidFill>
                        <a:schemeClr val="tx1"/>
                      </a:solidFill>
                    </a:ln>
                  </pic:spPr>
                </pic:pic>
              </a:graphicData>
            </a:graphic>
          </wp:inline>
        </w:drawing>
      </w:r>
    </w:p>
    <w:p w14:paraId="10E31E31">
      <w:pPr>
        <w:ind w:left="1470" w:hanging="1470" w:hangingChars="700"/>
        <w:jc w:val="left"/>
        <w:rPr>
          <w:rFonts w:hint="eastAsia"/>
          <w:lang w:val="en-US" w:eastAsia="zh-CN"/>
        </w:rPr>
      </w:pPr>
      <w:r>
        <w:drawing>
          <wp:inline distT="0" distB="0" distL="114300" distR="114300">
            <wp:extent cx="5266690" cy="1862455"/>
            <wp:effectExtent l="9525" t="9525" r="19685" b="13970"/>
            <wp:docPr id="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pic:cNvPicPr>
                      <a:picLocks noChangeAspect="1"/>
                    </pic:cNvPicPr>
                  </pic:nvPicPr>
                  <pic:blipFill>
                    <a:blip r:embed="rId22"/>
                    <a:stretch>
                      <a:fillRect/>
                    </a:stretch>
                  </pic:blipFill>
                  <pic:spPr>
                    <a:xfrm>
                      <a:off x="0" y="0"/>
                      <a:ext cx="5266690" cy="1862455"/>
                    </a:xfrm>
                    <a:prstGeom prst="rect">
                      <a:avLst/>
                    </a:prstGeom>
                    <a:noFill/>
                    <a:ln>
                      <a:solidFill>
                        <a:schemeClr val="tx1"/>
                      </a:solidFill>
                    </a:ln>
                  </pic:spPr>
                </pic:pic>
              </a:graphicData>
            </a:graphic>
          </wp:inline>
        </w:drawing>
      </w:r>
      <w:r>
        <w:rPr>
          <w:rFonts w:hint="eastAsia"/>
          <w:lang w:val="en-US" w:eastAsia="zh-CN"/>
        </w:rPr>
        <w:t xml:space="preserve">                            </w:t>
      </w:r>
    </w:p>
    <w:p w14:paraId="6C5DBA4C">
      <w:pPr>
        <w:jc w:val="left"/>
        <w:outlineLvl w:val="0"/>
        <w:rPr>
          <w:rFonts w:hint="eastAsia" w:ascii="宋体" w:hAnsi="宋体" w:eastAsia="宋体" w:cs="宋体"/>
          <w:sz w:val="28"/>
          <w:szCs w:val="36"/>
          <w:lang w:val="en-US" w:eastAsia="zh-CN"/>
        </w:rPr>
      </w:pPr>
      <w:bookmarkStart w:id="60" w:name="_Toc5670"/>
      <w:bookmarkStart w:id="61" w:name="_Toc19078"/>
      <w:bookmarkStart w:id="62" w:name="_Toc14008"/>
      <w:bookmarkStart w:id="63" w:name="_Toc1092"/>
      <w:bookmarkStart w:id="64" w:name="_Toc18623"/>
      <w:r>
        <w:rPr>
          <w:rFonts w:hint="eastAsia"/>
          <w:b/>
          <w:bCs/>
          <w:sz w:val="28"/>
          <w:szCs w:val="28"/>
          <w:lang w:val="en-US" w:eastAsia="zh-CN"/>
        </w:rPr>
        <w:t>八、忘记密码怎么办？</w:t>
      </w:r>
      <w:bookmarkEnd w:id="60"/>
      <w:bookmarkEnd w:id="61"/>
      <w:bookmarkEnd w:id="62"/>
      <w:bookmarkEnd w:id="63"/>
      <w:bookmarkEnd w:id="64"/>
    </w:p>
    <w:p w14:paraId="16717CF9">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1.点击登录窗口中“忘记密码”按钮，进入找回密码页面。</w:t>
      </w:r>
    </w:p>
    <w:p w14:paraId="03F5A335">
      <w:pPr>
        <w:jc w:val="center"/>
        <w:rPr>
          <w:rFonts w:hint="eastAsia"/>
          <w:lang w:val="en-US" w:eastAsia="zh-CN"/>
        </w:rPr>
      </w:pPr>
      <w:r>
        <w:drawing>
          <wp:inline distT="0" distB="0" distL="114300" distR="114300">
            <wp:extent cx="5260340" cy="1460500"/>
            <wp:effectExtent l="9525" t="9525" r="26035" b="15875"/>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pic:cNvPicPr>
                  </pic:nvPicPr>
                  <pic:blipFill>
                    <a:blip r:embed="rId23"/>
                    <a:stretch>
                      <a:fillRect/>
                    </a:stretch>
                  </pic:blipFill>
                  <pic:spPr>
                    <a:xfrm>
                      <a:off x="0" y="0"/>
                      <a:ext cx="5260340" cy="1460500"/>
                    </a:xfrm>
                    <a:prstGeom prst="rect">
                      <a:avLst/>
                    </a:prstGeom>
                    <a:noFill/>
                    <a:ln>
                      <a:solidFill>
                        <a:schemeClr val="tx1"/>
                      </a:solidFill>
                    </a:ln>
                  </pic:spPr>
                </pic:pic>
              </a:graphicData>
            </a:graphic>
          </wp:inline>
        </w:drawing>
      </w:r>
    </w:p>
    <w:p w14:paraId="799BE9AC">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sz w:val="28"/>
          <w:szCs w:val="36"/>
          <w:lang w:val="en-US" w:eastAsia="zh-CN"/>
        </w:rPr>
      </w:pPr>
      <w:r>
        <w:rPr>
          <w:rFonts w:hint="eastAsia" w:ascii="宋体" w:hAnsi="宋体" w:eastAsia="宋体" w:cs="宋体"/>
          <w:sz w:val="24"/>
          <w:szCs w:val="32"/>
          <w:lang w:val="en-US" w:eastAsia="zh-CN"/>
        </w:rPr>
        <w:t>2.您可通过【短信找回】和【邮箱找回】两种方式重置密码，输入您的身份证号和预留的手机号或输入您的身份证号和预留的邮箱，点击“提交”按钮，系统将新密码直接发送到您的手机或邮箱中。</w:t>
      </w:r>
    </w:p>
    <w:p w14:paraId="598DC21D">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rPr>
      </w:pPr>
      <w:r>
        <w:rPr>
          <w:rFonts w:hint="eastAsia"/>
        </w:rPr>
        <w:drawing>
          <wp:inline distT="0" distB="0" distL="114300" distR="114300">
            <wp:extent cx="2366010" cy="1440180"/>
            <wp:effectExtent l="9525" t="9525" r="24765" b="171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4"/>
                    <a:stretch>
                      <a:fillRect/>
                    </a:stretch>
                  </pic:blipFill>
                  <pic:spPr>
                    <a:xfrm>
                      <a:off x="0" y="0"/>
                      <a:ext cx="2366010" cy="1440180"/>
                    </a:xfrm>
                    <a:prstGeom prst="rect">
                      <a:avLst/>
                    </a:prstGeom>
                    <a:noFill/>
                    <a:ln>
                      <a:solidFill>
                        <a:schemeClr val="tx1"/>
                      </a:solidFill>
                    </a:ln>
                  </pic:spPr>
                </pic:pic>
              </a:graphicData>
            </a:graphic>
          </wp:inline>
        </w:drawing>
      </w:r>
      <w:r>
        <w:rPr>
          <w:rFonts w:hint="eastAsia"/>
          <w:lang w:val="en-US" w:eastAsia="zh-CN"/>
        </w:rPr>
        <w:t xml:space="preserve"> </w:t>
      </w:r>
      <w:r>
        <w:rPr>
          <w:rFonts w:hint="eastAsia"/>
        </w:rPr>
        <w:drawing>
          <wp:inline distT="0" distB="0" distL="114300" distR="114300">
            <wp:extent cx="2366010" cy="1440180"/>
            <wp:effectExtent l="9525" t="9525" r="24765" b="1714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5"/>
                    <a:stretch>
                      <a:fillRect/>
                    </a:stretch>
                  </pic:blipFill>
                  <pic:spPr>
                    <a:xfrm>
                      <a:off x="0" y="0"/>
                      <a:ext cx="2366010" cy="1440180"/>
                    </a:xfrm>
                    <a:prstGeom prst="rect">
                      <a:avLst/>
                    </a:prstGeom>
                    <a:noFill/>
                    <a:ln>
                      <a:solidFill>
                        <a:schemeClr val="tx1"/>
                      </a:solidFill>
                    </a:ln>
                  </pic:spPr>
                </pic:pic>
              </a:graphicData>
            </a:graphic>
          </wp:inline>
        </w:drawing>
      </w:r>
    </w:p>
    <w:p w14:paraId="4E2CF726">
      <w:pPr>
        <w:jc w:val="left"/>
        <w:rPr>
          <w:rFonts w:hint="eastAsia"/>
          <w:lang w:val="en-US" w:eastAsia="zh-CN"/>
        </w:rPr>
      </w:pPr>
    </w:p>
    <w:p w14:paraId="4B3A79EB">
      <w:pPr>
        <w:jc w:val="left"/>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在使用网站过程中一些小帮助：</w:t>
      </w:r>
    </w:p>
    <w:p w14:paraId="3B3DCBD7">
      <w:pPr>
        <w:jc w:val="left"/>
        <w:rPr>
          <w:rFonts w:hint="eastAsia" w:ascii="宋体" w:hAnsi="宋体" w:eastAsia="宋体" w:cs="宋体"/>
          <w:sz w:val="24"/>
          <w:szCs w:val="32"/>
          <w:lang w:val="en-US" w:eastAsia="zh-CN"/>
        </w:rPr>
      </w:pPr>
      <w:r>
        <w:rPr>
          <w:rFonts w:hint="eastAsia" w:ascii="宋体" w:hAnsi="宋体" w:eastAsia="宋体" w:cs="宋体"/>
          <w:b/>
          <w:bCs/>
          <w:sz w:val="24"/>
          <w:szCs w:val="32"/>
          <w:lang w:val="en-US" w:eastAsia="zh-CN"/>
        </w:rPr>
        <w:t xml:space="preserve">※ </w:t>
      </w:r>
      <w:r>
        <w:rPr>
          <w:rFonts w:hint="eastAsia" w:ascii="宋体" w:hAnsi="宋体" w:eastAsia="宋体" w:cs="宋体"/>
          <w:sz w:val="24"/>
          <w:szCs w:val="32"/>
          <w:lang w:val="en-US" w:eastAsia="zh-CN"/>
        </w:rPr>
        <w:t>一个身份证号码只可以注册一次，重复注册无效。</w:t>
      </w:r>
    </w:p>
    <w:p w14:paraId="42908AF6">
      <w:pPr>
        <w:jc w:val="left"/>
        <w:rPr>
          <w:rFonts w:hint="eastAsia" w:ascii="宋体" w:hAnsi="宋体" w:eastAsia="宋体" w:cs="宋体"/>
          <w:sz w:val="24"/>
          <w:szCs w:val="32"/>
          <w:lang w:val="en-US" w:eastAsia="zh-CN"/>
        </w:rPr>
      </w:pPr>
      <w:r>
        <w:rPr>
          <w:rFonts w:hint="eastAsia" w:ascii="宋体" w:hAnsi="宋体" w:eastAsia="宋体" w:cs="宋体"/>
          <w:b/>
          <w:bCs/>
          <w:sz w:val="24"/>
          <w:szCs w:val="32"/>
          <w:lang w:val="en-US" w:eastAsia="zh-CN"/>
        </w:rPr>
        <w:t xml:space="preserve">※ </w:t>
      </w:r>
      <w:r>
        <w:rPr>
          <w:rFonts w:hint="eastAsia" w:ascii="宋体" w:hAnsi="宋体" w:eastAsia="宋体" w:cs="宋体"/>
          <w:sz w:val="24"/>
          <w:szCs w:val="32"/>
          <w:lang w:val="en-US" w:eastAsia="zh-CN"/>
        </w:rPr>
        <w:t>注册成功后，身份证号码不可自行修改，如需变更请及时联系客服人员，其他个人资料可自行修改。</w:t>
      </w:r>
    </w:p>
    <w:p w14:paraId="48326F21">
      <w:pPr>
        <w:jc w:val="left"/>
        <w:rPr>
          <w:rFonts w:hint="eastAsia" w:ascii="宋体" w:hAnsi="宋体" w:eastAsia="宋体" w:cs="宋体"/>
          <w:sz w:val="24"/>
          <w:szCs w:val="32"/>
          <w:lang w:val="en-US" w:eastAsia="zh-CN"/>
        </w:rPr>
      </w:pPr>
      <w:r>
        <w:rPr>
          <w:rFonts w:hint="eastAsia" w:ascii="宋体" w:hAnsi="宋体" w:eastAsia="宋体" w:cs="宋体"/>
          <w:b/>
          <w:bCs/>
          <w:sz w:val="24"/>
          <w:szCs w:val="32"/>
          <w:lang w:val="en-US" w:eastAsia="zh-CN"/>
        </w:rPr>
        <w:t>※</w:t>
      </w:r>
      <w:r>
        <w:rPr>
          <w:rFonts w:hint="eastAsia" w:ascii="宋体" w:hAnsi="宋体" w:eastAsia="宋体" w:cs="宋体"/>
          <w:sz w:val="24"/>
          <w:szCs w:val="32"/>
          <w:lang w:val="en-US" w:eastAsia="zh-CN"/>
        </w:rPr>
        <w:t xml:space="preserve"> 请使用注册时填写的身份证号码及密码进行登录，如忘记密码，可在登录页面点击“忘记密码”，在相关位置填写您注册的身份证号码+手机号码或身份证号码+邮箱进行密码的找回操作。</w:t>
      </w:r>
    </w:p>
    <w:p w14:paraId="4219D3E3">
      <w:pPr>
        <w:jc w:val="left"/>
        <w:rPr>
          <w:rFonts w:hint="eastAsia" w:ascii="宋体" w:hAnsi="宋体" w:eastAsia="宋体" w:cs="宋体"/>
          <w:sz w:val="24"/>
          <w:szCs w:val="32"/>
          <w:lang w:val="en-US" w:eastAsia="zh-CN"/>
        </w:rPr>
      </w:pPr>
      <w:r>
        <w:rPr>
          <w:rFonts w:hint="eastAsia" w:ascii="宋体" w:hAnsi="宋体" w:eastAsia="宋体" w:cs="宋体"/>
          <w:b/>
          <w:bCs/>
          <w:sz w:val="24"/>
          <w:szCs w:val="32"/>
          <w:lang w:val="en-US" w:eastAsia="zh-CN"/>
        </w:rPr>
        <w:t>※</w:t>
      </w:r>
      <w:r>
        <w:rPr>
          <w:rFonts w:hint="eastAsia" w:ascii="宋体" w:hAnsi="宋体" w:eastAsia="宋体" w:cs="宋体"/>
          <w:sz w:val="24"/>
          <w:szCs w:val="32"/>
          <w:lang w:val="en-US" w:eastAsia="zh-CN"/>
        </w:rPr>
        <w:t xml:space="preserve"> 其他问题请参考网站“帮助中心”版块。</w:t>
      </w:r>
    </w:p>
    <w:p w14:paraId="76595F20">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如您在学习中遇到任何问题，在首页导航栏中有“帮助中心”模块，里面有很多常见的操作性问题，均为视频+图文形式，非常易懂，或者您也可以拨打客服热线：4008-434-678进行咨询，我们将竭诚为您服务！</w:t>
      </w:r>
    </w:p>
    <w:p w14:paraId="62D699A8">
      <w:pPr>
        <w:jc w:val="left"/>
        <w:rPr>
          <w:rFonts w:hint="eastAsia" w:ascii="宋体" w:hAnsi="宋体" w:eastAsia="宋体" w:cs="宋体"/>
          <w:sz w:val="24"/>
          <w:szCs w:val="32"/>
          <w:lang w:val="en-US" w:eastAsia="zh-CN"/>
        </w:rPr>
      </w:pPr>
    </w:p>
    <w:p w14:paraId="41FC3D8F">
      <w:pPr>
        <w:keepNext w:val="0"/>
        <w:keepLines w:val="0"/>
        <w:pageBreakBefore w:val="0"/>
        <w:widowControl w:val="0"/>
        <w:kinsoku/>
        <w:wordWrap/>
        <w:overflowPunct/>
        <w:topLinePunct w:val="0"/>
        <w:autoSpaceDE/>
        <w:autoSpaceDN/>
        <w:bidi w:val="0"/>
        <w:adjustRightInd/>
        <w:snapToGrid/>
        <w:jc w:val="right"/>
        <w:textAlignment w:val="auto"/>
        <w:outlineLvl w:val="0"/>
        <w:rPr>
          <w:rFonts w:hint="eastAsia" w:ascii="宋体" w:hAnsi="宋体" w:eastAsia="宋体" w:cs="宋体"/>
          <w:sz w:val="24"/>
          <w:szCs w:val="32"/>
          <w:lang w:val="en-US" w:eastAsia="zh-CN"/>
        </w:rPr>
      </w:pPr>
      <w:bookmarkStart w:id="65" w:name="_Toc17824"/>
      <w:bookmarkStart w:id="66" w:name="_Toc15893"/>
      <w:bookmarkStart w:id="67" w:name="_Toc31067"/>
      <w:bookmarkStart w:id="68" w:name="_Toc216"/>
      <w:r>
        <w:rPr>
          <w:rFonts w:hint="eastAsia" w:ascii="宋体" w:hAnsi="宋体" w:eastAsia="宋体" w:cs="宋体"/>
          <w:sz w:val="24"/>
          <w:szCs w:val="32"/>
          <w:lang w:val="en-US" w:eastAsia="zh-CN"/>
        </w:rPr>
        <w:t>晋城市陵川县专业技术人员继续教育培训平台</w:t>
      </w:r>
      <w:bookmarkEnd w:id="65"/>
      <w:bookmarkEnd w:id="66"/>
      <w:bookmarkEnd w:id="67"/>
      <w:bookmarkEnd w:id="68"/>
      <w:r>
        <w:rPr>
          <w:rFonts w:hint="eastAsia" w:ascii="宋体" w:hAnsi="宋体" w:eastAsia="宋体" w:cs="宋体"/>
          <w:sz w:val="24"/>
          <w:szCs w:val="32"/>
          <w:lang w:val="en-US" w:eastAsia="zh-CN"/>
        </w:rPr>
        <w:t xml:space="preserve"> </w:t>
      </w:r>
      <w:bookmarkStart w:id="69" w:name="_Toc5220"/>
    </w:p>
    <w:p w14:paraId="385A6135">
      <w:pPr>
        <w:jc w:val="right"/>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2025年7月</w:t>
      </w:r>
      <w:bookmarkEnd w:id="69"/>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8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kwY2IxMTg0NTZmZjA3ODA5NmI3MThkNzI1OWMwOGUifQ=="/>
  </w:docVars>
  <w:rsids>
    <w:rsidRoot w:val="634367FF"/>
    <w:rsid w:val="009E0D18"/>
    <w:rsid w:val="02595BF1"/>
    <w:rsid w:val="02B82B1E"/>
    <w:rsid w:val="036B5251"/>
    <w:rsid w:val="038129CA"/>
    <w:rsid w:val="042F398A"/>
    <w:rsid w:val="049D1AA1"/>
    <w:rsid w:val="051D3FFE"/>
    <w:rsid w:val="065B5BE9"/>
    <w:rsid w:val="06E25597"/>
    <w:rsid w:val="07CD206E"/>
    <w:rsid w:val="0837135A"/>
    <w:rsid w:val="0A8E5890"/>
    <w:rsid w:val="11943AF7"/>
    <w:rsid w:val="15511CF9"/>
    <w:rsid w:val="15D3522C"/>
    <w:rsid w:val="190D63CE"/>
    <w:rsid w:val="1DAD5074"/>
    <w:rsid w:val="1E8374C0"/>
    <w:rsid w:val="1F7C07EB"/>
    <w:rsid w:val="20615296"/>
    <w:rsid w:val="229E4AA7"/>
    <w:rsid w:val="233F18EF"/>
    <w:rsid w:val="23F72785"/>
    <w:rsid w:val="26153106"/>
    <w:rsid w:val="27B92D35"/>
    <w:rsid w:val="2860495C"/>
    <w:rsid w:val="29D61169"/>
    <w:rsid w:val="2FBE7CB1"/>
    <w:rsid w:val="300B4798"/>
    <w:rsid w:val="31794F62"/>
    <w:rsid w:val="32D9616A"/>
    <w:rsid w:val="332854C6"/>
    <w:rsid w:val="337467D7"/>
    <w:rsid w:val="3407494B"/>
    <w:rsid w:val="34742F96"/>
    <w:rsid w:val="34A24065"/>
    <w:rsid w:val="35070B4B"/>
    <w:rsid w:val="35742FC7"/>
    <w:rsid w:val="35A7103D"/>
    <w:rsid w:val="393947CE"/>
    <w:rsid w:val="3B7B1C49"/>
    <w:rsid w:val="3FD118D8"/>
    <w:rsid w:val="40D40553"/>
    <w:rsid w:val="44CA69D8"/>
    <w:rsid w:val="4D2C23B8"/>
    <w:rsid w:val="4DE61595"/>
    <w:rsid w:val="4E4F087F"/>
    <w:rsid w:val="50C16D86"/>
    <w:rsid w:val="523C2A85"/>
    <w:rsid w:val="52B477F4"/>
    <w:rsid w:val="56026953"/>
    <w:rsid w:val="58757673"/>
    <w:rsid w:val="5AB10D16"/>
    <w:rsid w:val="5D0525FA"/>
    <w:rsid w:val="6294737D"/>
    <w:rsid w:val="634367FF"/>
    <w:rsid w:val="63933CC6"/>
    <w:rsid w:val="648123EF"/>
    <w:rsid w:val="659D0EAF"/>
    <w:rsid w:val="670573BF"/>
    <w:rsid w:val="67EB1620"/>
    <w:rsid w:val="6B1A6F95"/>
    <w:rsid w:val="70ED6B4B"/>
    <w:rsid w:val="72652117"/>
    <w:rsid w:val="728F115A"/>
    <w:rsid w:val="73360830"/>
    <w:rsid w:val="77226C72"/>
    <w:rsid w:val="79AD5150"/>
    <w:rsid w:val="79CF317E"/>
    <w:rsid w:val="7BE727C6"/>
    <w:rsid w:val="7DFF4EDB"/>
    <w:rsid w:val="7E6E731F"/>
    <w:rsid w:val="7E821C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toc 1"/>
    <w:basedOn w:val="1"/>
    <w:next w:val="1"/>
    <w:qFormat/>
    <w:uiPriority w:val="0"/>
  </w:style>
  <w:style w:type="character" w:styleId="5">
    <w:name w:val="Hyperlink"/>
    <w:basedOn w:val="4"/>
    <w:qFormat/>
    <w:uiPriority w:val="0"/>
    <w:rPr>
      <w:color w:val="0000FF"/>
      <w:u w:val="single"/>
    </w:rPr>
  </w:style>
  <w:style w:type="paragraph" w:customStyle="1" w:styleId="6">
    <w:name w:val="WPSOffice手动目录 1"/>
    <w:autoRedefine/>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1273</Words>
  <Characters>1357</Characters>
  <Lines>0</Lines>
  <Paragraphs>0</Paragraphs>
  <TotalTime>1</TotalTime>
  <ScaleCrop>false</ScaleCrop>
  <LinksUpToDate>false</LinksUpToDate>
  <CharactersWithSpaces>1362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2022-03-16T02:20:00Z</dcterms:created>
  <dc:creator>先生╮迩贵姓</dc:creator>
  <cp:lastModifiedBy>徐小胖</cp:lastModifiedBy>
  <dcterms:modified xsi:type="dcterms:W3CDTF">2025-07-16T05:56:16Z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1E20DBB8CD604472A0B319443AE5FF6B_13</vt:lpwstr>
  </property>
  <property fmtid="{D5CDD505-2E9C-101B-9397-08002B2CF9AE}" pid="4" name="KSOTemplateDocerSaveRecord">
    <vt:lpwstr>eyJoZGlkIjoiYTkwY2IxMTg0NTZmZjA3ODA5NmI3MThkNzI1OWMwOGUiLCJ1c2VySWQiOiI0MzM0Nzg4NTYifQ==</vt:lpwstr>
  </property>
</Properties>
</file>