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6F50B4">
      <w:pPr>
        <w:pStyle w:val="2"/>
        <w:spacing w:before="0" w:after="0" w:line="580" w:lineRule="exact"/>
        <w:jc w:val="center"/>
        <w:rPr>
          <w:rFonts w:ascii="黑体" w:hAnsi="黑体" w:eastAsia="黑体"/>
          <w:sz w:val="36"/>
          <w:szCs w:val="36"/>
        </w:rPr>
      </w:pPr>
      <w:bookmarkStart w:id="0" w:name="_Toc441214811"/>
      <w:bookmarkStart w:id="1" w:name="_Toc528317005"/>
      <w:r>
        <w:rPr>
          <w:rFonts w:hint="eastAsia" w:ascii="黑体" w:hAnsi="黑体" w:eastAsia="黑体"/>
          <w:sz w:val="36"/>
          <w:szCs w:val="36"/>
        </w:rPr>
        <w:t>第一章  基本情况</w:t>
      </w:r>
      <w:bookmarkEnd w:id="0"/>
      <w:bookmarkEnd w:id="1"/>
    </w:p>
    <w:p w14:paraId="3290462C">
      <w:pPr>
        <w:pStyle w:val="37"/>
        <w:spacing w:line="580" w:lineRule="exact"/>
        <w:ind w:firstLine="560"/>
        <w:rPr>
          <w:color w:val="000000"/>
          <w:sz w:val="28"/>
          <w:szCs w:val="28"/>
        </w:rPr>
      </w:pPr>
    </w:p>
    <w:p w14:paraId="517D934C">
      <w:pPr>
        <w:pStyle w:val="37"/>
        <w:spacing w:line="580" w:lineRule="exact"/>
        <w:ind w:firstLine="560"/>
        <w:rPr>
          <w:color w:val="000000"/>
          <w:sz w:val="28"/>
          <w:szCs w:val="28"/>
        </w:rPr>
      </w:pPr>
      <w:r>
        <w:rPr>
          <w:rFonts w:hint="eastAsia"/>
          <w:color w:val="000000"/>
          <w:sz w:val="28"/>
          <w:szCs w:val="28"/>
        </w:rPr>
        <w:t>控制性详细规划是为适应土地成片开发建设的需要，便于规划管理而提出的一种规划方法。在总体规划的指导控制下，以地块为基本控制单元，对地块内各类用地进行详细划分，并提出具体的控制指标和规划管理要求，用以指导修建性详细规划的编制，为土地综合开发和规划管理提供依据。</w:t>
      </w:r>
    </w:p>
    <w:p w14:paraId="254FA1E3">
      <w:pPr>
        <w:pStyle w:val="38"/>
        <w:numPr>
          <w:ilvl w:val="0"/>
          <w:numId w:val="2"/>
        </w:numPr>
        <w:spacing w:before="0" w:beforeLines="0" w:after="0" w:afterLines="0" w:line="580" w:lineRule="exact"/>
        <w:ind w:left="0" w:firstLine="0"/>
        <w:rPr>
          <w:rFonts w:ascii="黑体" w:hAnsi="黑体"/>
          <w:b/>
        </w:rPr>
      </w:pPr>
      <w:bookmarkStart w:id="2" w:name="_Toc10988"/>
      <w:bookmarkStart w:id="3" w:name="_Toc528317006"/>
      <w:bookmarkStart w:id="4" w:name="_Toc441214812"/>
      <w:r>
        <w:rPr>
          <w:rFonts w:hint="eastAsia" w:ascii="黑体" w:hAnsi="黑体"/>
          <w:b/>
        </w:rPr>
        <w:t>规划</w:t>
      </w:r>
      <w:bookmarkEnd w:id="2"/>
      <w:r>
        <w:rPr>
          <w:rFonts w:hint="eastAsia" w:ascii="黑体" w:hAnsi="黑体"/>
          <w:b/>
        </w:rPr>
        <w:t>背景与规划范围</w:t>
      </w:r>
      <w:bookmarkEnd w:id="3"/>
      <w:bookmarkEnd w:id="4"/>
    </w:p>
    <w:p w14:paraId="0B2FE343">
      <w:pPr>
        <w:pStyle w:val="47"/>
        <w:spacing w:line="580" w:lineRule="exact"/>
      </w:pPr>
      <w:r>
        <w:rPr>
          <w:rFonts w:hint="eastAsia"/>
        </w:rPr>
        <w:t>(一)规划背景</w:t>
      </w:r>
    </w:p>
    <w:p w14:paraId="46536071">
      <w:pPr>
        <w:pStyle w:val="47"/>
        <w:spacing w:line="580" w:lineRule="exact"/>
      </w:pPr>
      <w:r>
        <w:t>陵川县属晋城市管辖，地处华北腹地、黄河之北、太行山南麓峰巅，是山西综改区和中原经济区交互覆盖的山区县份，是晋城市“太行屋脊，天下公园”的重要组成部分。背靠国家级能源和原材料供应基地，面向广阔的中原市场。县境版图上宽下狭，在山西省平行四边形的版图上宛如一颗跳动的心脏镶嵌在三晋大地最最东南一角，是南太行通往中原的门户。</w:t>
      </w:r>
    </w:p>
    <w:p w14:paraId="12BEC4E1">
      <w:pPr>
        <w:pStyle w:val="37"/>
        <w:spacing w:line="580" w:lineRule="exact"/>
        <w:ind w:firstLine="560"/>
        <w:rPr>
          <w:color w:val="000000"/>
          <w:sz w:val="28"/>
          <w:szCs w:val="28"/>
        </w:rPr>
      </w:pPr>
      <w:r>
        <w:rPr>
          <w:rFonts w:hint="eastAsia"/>
          <w:color w:val="000000"/>
          <w:sz w:val="28"/>
          <w:szCs w:val="28"/>
        </w:rPr>
        <w:t>近年来，陵川县坚决贯彻落实中央、省市决策部署，主动适应把握经济发展新常态，着力推进供给侧结构性改革，加快县域经济发展。2017年，全县地区生产总值完成39.4亿元，增长7.6%。以“五城联创”为抓手，城乡一体，农旅融合，城乡环境发生了显著变化。县城建设有序推进，“一路两街”开工建设，菊　山开发高起点规划，为拉大县城框架、完善城市功能、带动乡村振兴奠定了重要基础。陵川县于2011年编制了《陵川县县城总体规划2011-2030》，并于2014年获得批复。</w:t>
      </w:r>
    </w:p>
    <w:p w14:paraId="5877D2C7">
      <w:pPr>
        <w:pStyle w:val="37"/>
        <w:spacing w:line="580" w:lineRule="exact"/>
        <w:ind w:firstLine="560"/>
        <w:rPr>
          <w:sz w:val="28"/>
          <w:szCs w:val="28"/>
        </w:rPr>
      </w:pPr>
      <w:r>
        <w:rPr>
          <w:rFonts w:hint="eastAsia"/>
          <w:color w:val="000000"/>
          <w:sz w:val="28"/>
          <w:szCs w:val="28"/>
        </w:rPr>
        <w:t>为全面贯彻落实贯彻落实党的十九大决胜全面建成小康社会的战略部署，以习近平新时代中国特色社会主义思想为指导，认真落实中央、省市重大决策部署；同时，深刻实施2015年12月20日召开的中央城市工作会议上，习近平明确提出的“不能政府一换届、规划就换届”的指导思想，深化总体规划对陵川县城的建设指导作用，加强政府对城市用地的有计划储备，促进城市公共环境与城市土地开发的相互协调，使城市旧城片区发展成为功能布局合理、设施配套完善、文化底蕴深厚、生活环境优美的宜居城市，特编制陵川县县城控制性详细规划。</w:t>
      </w:r>
    </w:p>
    <w:p w14:paraId="2C56E512">
      <w:pPr>
        <w:pStyle w:val="37"/>
        <w:spacing w:line="580" w:lineRule="exact"/>
        <w:ind w:firstLine="560"/>
        <w:rPr>
          <w:color w:val="000000"/>
          <w:sz w:val="28"/>
          <w:szCs w:val="28"/>
        </w:rPr>
      </w:pPr>
      <w:r>
        <w:rPr>
          <w:rFonts w:hint="eastAsia"/>
          <w:color w:val="000000"/>
          <w:sz w:val="28"/>
          <w:szCs w:val="28"/>
        </w:rPr>
        <w:t>规划在总结陵川近年来城市建设经验的基础上，吸取相近城市发展经验，确保城市各项建设、管理活动符合《城乡规划法》，保障城市居民良好的工作生活环境，促进城市更新改造，有效提高土地利用效率，保证城市在总体规划的框架下有序发展。</w:t>
      </w:r>
    </w:p>
    <w:p w14:paraId="0090D045">
      <w:pPr>
        <w:pStyle w:val="47"/>
        <w:spacing w:line="580" w:lineRule="exact"/>
      </w:pPr>
      <w:r>
        <w:rPr>
          <w:rFonts w:hint="eastAsia"/>
        </w:rPr>
        <w:t>(二)规划范围</w:t>
      </w:r>
    </w:p>
    <w:p w14:paraId="4DD5E509">
      <w:pPr>
        <w:pStyle w:val="37"/>
        <w:spacing w:line="580" w:lineRule="exact"/>
        <w:ind w:firstLine="560"/>
        <w:rPr>
          <w:color w:val="000000"/>
          <w:sz w:val="28"/>
          <w:szCs w:val="28"/>
        </w:rPr>
      </w:pPr>
      <w:r>
        <w:rPr>
          <w:rFonts w:hint="eastAsia"/>
          <w:color w:val="000000"/>
          <w:sz w:val="28"/>
          <w:szCs w:val="28"/>
        </w:rPr>
        <w:t>本次规划范围</w:t>
      </w:r>
      <w:r>
        <w:rPr>
          <w:rFonts w:hint="eastAsia"/>
          <w:color w:val="333333"/>
          <w:sz w:val="28"/>
          <w:szCs w:val="28"/>
          <w:shd w:val="clear" w:color="auto" w:fill="FFFFFF"/>
        </w:rPr>
        <w:t>南</w:t>
      </w:r>
      <w:r>
        <w:rPr>
          <w:rFonts w:hint="eastAsia"/>
          <w:color w:val="000000"/>
          <w:sz w:val="28"/>
          <w:szCs w:val="28"/>
        </w:rPr>
        <w:t>至望川街、北至北环路、西至陵沁线、东至棋山路，编制面积为</w:t>
      </w:r>
      <w:r>
        <w:rPr>
          <w:color w:val="000000"/>
          <w:sz w:val="28"/>
          <w:szCs w:val="28"/>
        </w:rPr>
        <w:t>1045.76</w:t>
      </w:r>
      <w:r>
        <w:rPr>
          <w:rFonts w:hint="eastAsia"/>
          <w:color w:val="000000"/>
          <w:sz w:val="28"/>
          <w:szCs w:val="28"/>
        </w:rPr>
        <w:t>公顷。</w:t>
      </w:r>
    </w:p>
    <w:p w14:paraId="7B0FC44C">
      <w:pPr>
        <w:pStyle w:val="38"/>
        <w:numPr>
          <w:ilvl w:val="0"/>
          <w:numId w:val="2"/>
        </w:numPr>
        <w:spacing w:before="0" w:beforeLines="0" w:after="0" w:afterLines="0" w:line="580" w:lineRule="exact"/>
        <w:ind w:left="0" w:firstLine="0"/>
        <w:rPr>
          <w:rFonts w:ascii="黑体" w:hAnsi="黑体"/>
          <w:b/>
        </w:rPr>
      </w:pPr>
      <w:bookmarkStart w:id="5" w:name="_Toc528317007"/>
      <w:bookmarkStart w:id="6" w:name="_Toc441214813"/>
      <w:bookmarkStart w:id="7" w:name="_Toc1404"/>
      <w:r>
        <w:rPr>
          <w:rFonts w:hint="eastAsia" w:ascii="黑体" w:hAnsi="黑体"/>
          <w:b/>
        </w:rPr>
        <w:t>规划依据</w:t>
      </w:r>
      <w:bookmarkEnd w:id="5"/>
      <w:bookmarkEnd w:id="6"/>
    </w:p>
    <w:p w14:paraId="526D3310">
      <w:pPr>
        <w:pStyle w:val="37"/>
        <w:spacing w:line="580" w:lineRule="exact"/>
        <w:ind w:firstLine="560"/>
        <w:rPr>
          <w:color w:val="000000"/>
          <w:sz w:val="28"/>
          <w:szCs w:val="28"/>
        </w:rPr>
      </w:pPr>
      <w:r>
        <w:rPr>
          <w:rFonts w:hint="eastAsia"/>
          <w:color w:val="000000"/>
          <w:sz w:val="28"/>
          <w:szCs w:val="28"/>
        </w:rPr>
        <w:t>(一)《中华人民共和国城乡规划法》（</w:t>
      </w:r>
      <w:r>
        <w:rPr>
          <w:color w:val="000000"/>
          <w:sz w:val="28"/>
          <w:szCs w:val="28"/>
        </w:rPr>
        <w:t>2007</w:t>
      </w:r>
      <w:r>
        <w:rPr>
          <w:rFonts w:hint="eastAsia"/>
          <w:color w:val="000000"/>
          <w:sz w:val="28"/>
          <w:szCs w:val="28"/>
        </w:rPr>
        <w:t>年）；</w:t>
      </w:r>
    </w:p>
    <w:p w14:paraId="2FD94C21">
      <w:pPr>
        <w:pStyle w:val="37"/>
        <w:spacing w:line="580" w:lineRule="exact"/>
        <w:ind w:firstLine="560"/>
        <w:rPr>
          <w:color w:val="000000"/>
          <w:sz w:val="28"/>
          <w:szCs w:val="28"/>
        </w:rPr>
      </w:pPr>
      <w:r>
        <w:rPr>
          <w:rFonts w:hint="eastAsia"/>
          <w:color w:val="000000"/>
          <w:sz w:val="28"/>
          <w:szCs w:val="28"/>
        </w:rPr>
        <w:t>(二)《城市、镇控制性详细规划编制审批办法》（</w:t>
      </w:r>
      <w:r>
        <w:rPr>
          <w:color w:val="000000"/>
          <w:sz w:val="28"/>
          <w:szCs w:val="28"/>
        </w:rPr>
        <w:t>2010</w:t>
      </w:r>
      <w:r>
        <w:rPr>
          <w:rFonts w:hint="eastAsia"/>
          <w:color w:val="000000"/>
          <w:sz w:val="28"/>
          <w:szCs w:val="28"/>
        </w:rPr>
        <w:t>年）；</w:t>
      </w:r>
    </w:p>
    <w:p w14:paraId="74407118">
      <w:pPr>
        <w:pStyle w:val="37"/>
        <w:spacing w:line="580" w:lineRule="exact"/>
        <w:ind w:firstLine="560"/>
        <w:rPr>
          <w:color w:val="000000"/>
          <w:sz w:val="28"/>
          <w:szCs w:val="28"/>
        </w:rPr>
      </w:pPr>
      <w:r>
        <w:rPr>
          <w:rFonts w:hint="eastAsia"/>
          <w:color w:val="000000"/>
          <w:sz w:val="28"/>
          <w:szCs w:val="28"/>
        </w:rPr>
        <w:t>(三)《城市规划强制性内容暂行规定》（</w:t>
      </w:r>
      <w:r>
        <w:rPr>
          <w:color w:val="000000"/>
          <w:sz w:val="28"/>
          <w:szCs w:val="28"/>
        </w:rPr>
        <w:t>2002</w:t>
      </w:r>
      <w:r>
        <w:rPr>
          <w:rFonts w:hint="eastAsia"/>
          <w:color w:val="000000"/>
          <w:sz w:val="28"/>
          <w:szCs w:val="28"/>
        </w:rPr>
        <w:t>年）；</w:t>
      </w:r>
    </w:p>
    <w:p w14:paraId="28AD97F8">
      <w:pPr>
        <w:pStyle w:val="37"/>
        <w:spacing w:line="580" w:lineRule="exact"/>
        <w:ind w:firstLine="560"/>
        <w:rPr>
          <w:sz w:val="28"/>
          <w:szCs w:val="28"/>
        </w:rPr>
      </w:pPr>
      <w:r>
        <w:rPr>
          <w:rFonts w:hint="eastAsia"/>
          <w:color w:val="000000"/>
          <w:sz w:val="28"/>
          <w:szCs w:val="28"/>
        </w:rPr>
        <w:t>(四)</w:t>
      </w:r>
      <w:r>
        <w:rPr>
          <w:rFonts w:hint="eastAsia"/>
          <w:sz w:val="28"/>
          <w:szCs w:val="28"/>
        </w:rPr>
        <w:t>《中华人民共和国文物保护法》（</w:t>
      </w:r>
      <w:r>
        <w:rPr>
          <w:sz w:val="28"/>
          <w:szCs w:val="28"/>
        </w:rPr>
        <w:t>2013</w:t>
      </w:r>
      <w:r>
        <w:rPr>
          <w:rFonts w:hint="eastAsia"/>
          <w:sz w:val="28"/>
          <w:szCs w:val="28"/>
        </w:rPr>
        <w:t>修正版）；</w:t>
      </w:r>
    </w:p>
    <w:p w14:paraId="330F4AE2">
      <w:pPr>
        <w:pStyle w:val="37"/>
        <w:spacing w:line="580" w:lineRule="exact"/>
        <w:ind w:firstLine="560"/>
        <w:rPr>
          <w:color w:val="000000"/>
          <w:sz w:val="28"/>
          <w:szCs w:val="28"/>
        </w:rPr>
      </w:pPr>
      <w:r>
        <w:rPr>
          <w:rFonts w:hint="eastAsia"/>
          <w:color w:val="000000"/>
          <w:sz w:val="28"/>
          <w:szCs w:val="28"/>
        </w:rPr>
        <w:t>(五)《城市用地分类与规划建设用地标准》（</w:t>
      </w:r>
      <w:r>
        <w:rPr>
          <w:color w:val="000000"/>
          <w:sz w:val="28"/>
          <w:szCs w:val="28"/>
        </w:rPr>
        <w:t>GB50137-2011</w:t>
      </w:r>
      <w:r>
        <w:rPr>
          <w:rFonts w:hint="eastAsia"/>
          <w:color w:val="000000"/>
          <w:sz w:val="28"/>
          <w:szCs w:val="28"/>
        </w:rPr>
        <w:t>）；</w:t>
      </w:r>
    </w:p>
    <w:p w14:paraId="331E4BD1">
      <w:pPr>
        <w:pStyle w:val="37"/>
        <w:spacing w:line="580" w:lineRule="exact"/>
        <w:ind w:firstLine="560"/>
        <w:rPr>
          <w:color w:val="000000"/>
          <w:sz w:val="28"/>
          <w:szCs w:val="28"/>
        </w:rPr>
      </w:pPr>
      <w:r>
        <w:rPr>
          <w:rFonts w:hint="eastAsia"/>
          <w:color w:val="000000"/>
          <w:sz w:val="28"/>
          <w:szCs w:val="28"/>
        </w:rPr>
        <w:t>(六)《晋城市城市总体规划》（2008-2020）；</w:t>
      </w:r>
    </w:p>
    <w:p w14:paraId="5BEA7297">
      <w:pPr>
        <w:pStyle w:val="37"/>
        <w:spacing w:line="580" w:lineRule="exact"/>
        <w:ind w:firstLine="560"/>
        <w:rPr>
          <w:color w:val="000000"/>
          <w:sz w:val="28"/>
          <w:szCs w:val="28"/>
        </w:rPr>
      </w:pPr>
      <w:r>
        <w:rPr>
          <w:rFonts w:hint="eastAsia"/>
          <w:color w:val="000000"/>
          <w:sz w:val="28"/>
          <w:szCs w:val="28"/>
        </w:rPr>
        <w:t>(七)《陵川县县域城镇体系规划》（2007-2020）；</w:t>
      </w:r>
    </w:p>
    <w:p w14:paraId="669F0873">
      <w:pPr>
        <w:pStyle w:val="37"/>
        <w:spacing w:line="580" w:lineRule="exact"/>
        <w:ind w:firstLine="560"/>
        <w:rPr>
          <w:color w:val="000000"/>
          <w:sz w:val="28"/>
          <w:szCs w:val="28"/>
        </w:rPr>
      </w:pPr>
      <w:r>
        <w:rPr>
          <w:rFonts w:hint="eastAsia"/>
          <w:color w:val="000000"/>
          <w:sz w:val="28"/>
          <w:szCs w:val="28"/>
        </w:rPr>
        <w:t>(八)《陵川县县城总体规划》（</w:t>
      </w:r>
      <w:r>
        <w:rPr>
          <w:color w:val="000000"/>
          <w:sz w:val="28"/>
          <w:szCs w:val="28"/>
        </w:rPr>
        <w:t>201</w:t>
      </w:r>
      <w:r>
        <w:rPr>
          <w:rFonts w:hint="eastAsia"/>
          <w:color w:val="000000"/>
          <w:sz w:val="28"/>
          <w:szCs w:val="28"/>
        </w:rPr>
        <w:t>1</w:t>
      </w:r>
      <w:r>
        <w:rPr>
          <w:color w:val="000000"/>
          <w:sz w:val="28"/>
          <w:szCs w:val="28"/>
        </w:rPr>
        <w:t>-2030</w:t>
      </w:r>
      <w:r>
        <w:rPr>
          <w:rFonts w:hint="eastAsia"/>
          <w:color w:val="000000"/>
          <w:sz w:val="28"/>
          <w:szCs w:val="28"/>
        </w:rPr>
        <w:t>年）；</w:t>
      </w:r>
    </w:p>
    <w:p w14:paraId="428C1550">
      <w:pPr>
        <w:pStyle w:val="37"/>
        <w:spacing w:line="580" w:lineRule="exact"/>
        <w:ind w:firstLine="560"/>
        <w:rPr>
          <w:color w:val="000000"/>
          <w:sz w:val="28"/>
          <w:szCs w:val="28"/>
        </w:rPr>
      </w:pPr>
      <w:r>
        <w:rPr>
          <w:rFonts w:hint="eastAsia"/>
          <w:color w:val="000000"/>
          <w:sz w:val="28"/>
          <w:szCs w:val="28"/>
        </w:rPr>
        <w:t>(九)《陵川县县城绿地系统规划》（2017-2030）；</w:t>
      </w:r>
    </w:p>
    <w:p w14:paraId="6B7B1D2F">
      <w:pPr>
        <w:pStyle w:val="37"/>
        <w:spacing w:line="580" w:lineRule="exact"/>
        <w:ind w:firstLine="560"/>
        <w:rPr>
          <w:sz w:val="28"/>
          <w:szCs w:val="28"/>
        </w:rPr>
      </w:pPr>
      <w:r>
        <w:rPr>
          <w:rFonts w:hint="eastAsia"/>
          <w:color w:val="000000"/>
          <w:sz w:val="28"/>
          <w:szCs w:val="28"/>
        </w:rPr>
        <w:t>(</w:t>
      </w:r>
      <w:r>
        <w:rPr>
          <w:rFonts w:hint="eastAsia"/>
          <w:sz w:val="28"/>
          <w:szCs w:val="28"/>
        </w:rPr>
        <w:t>十</w:t>
      </w:r>
      <w:r>
        <w:rPr>
          <w:rFonts w:hint="eastAsia"/>
          <w:color w:val="000000"/>
          <w:sz w:val="28"/>
          <w:szCs w:val="28"/>
        </w:rPr>
        <w:t>)</w:t>
      </w:r>
      <w:r>
        <w:rPr>
          <w:rFonts w:hint="eastAsia"/>
          <w:sz w:val="28"/>
          <w:szCs w:val="28"/>
        </w:rPr>
        <w:t>《山西省陵川县旅游发展战略规划》（2013-2030）；</w:t>
      </w:r>
    </w:p>
    <w:p w14:paraId="3822430E">
      <w:pPr>
        <w:pStyle w:val="37"/>
        <w:spacing w:line="580" w:lineRule="exact"/>
        <w:ind w:firstLine="560"/>
        <w:rPr>
          <w:color w:val="000000"/>
          <w:sz w:val="28"/>
          <w:szCs w:val="28"/>
        </w:rPr>
      </w:pPr>
      <w:r>
        <w:rPr>
          <w:rFonts w:hint="eastAsia"/>
          <w:color w:val="000000"/>
          <w:sz w:val="28"/>
          <w:szCs w:val="28"/>
        </w:rPr>
        <w:t>(十一)《陵川县土地利用总体规划》（2006-2020）；</w:t>
      </w:r>
    </w:p>
    <w:p w14:paraId="5D43B9D4">
      <w:pPr>
        <w:pStyle w:val="37"/>
        <w:spacing w:line="580" w:lineRule="exact"/>
        <w:ind w:firstLine="560"/>
        <w:rPr>
          <w:color w:val="000000"/>
          <w:sz w:val="28"/>
          <w:szCs w:val="28"/>
        </w:rPr>
      </w:pPr>
      <w:r>
        <w:rPr>
          <w:rFonts w:hint="eastAsia"/>
          <w:color w:val="000000"/>
          <w:sz w:val="28"/>
          <w:szCs w:val="28"/>
        </w:rPr>
        <w:t>(</w:t>
      </w:r>
      <w:r>
        <w:rPr>
          <w:rFonts w:hint="eastAsia"/>
          <w:sz w:val="28"/>
          <w:szCs w:val="28"/>
        </w:rPr>
        <w:t>十二</w:t>
      </w:r>
      <w:r>
        <w:rPr>
          <w:rFonts w:hint="eastAsia"/>
          <w:color w:val="000000"/>
          <w:sz w:val="28"/>
          <w:szCs w:val="28"/>
        </w:rPr>
        <w:t>)</w:t>
      </w:r>
      <w:r>
        <w:rPr>
          <w:rFonts w:hint="eastAsia"/>
          <w:sz w:val="28"/>
          <w:szCs w:val="28"/>
        </w:rPr>
        <w:t>《陵川县国民经济和社会发展第十三个五年规划纲要》(2016-2020年)；</w:t>
      </w:r>
    </w:p>
    <w:p w14:paraId="02553417">
      <w:pPr>
        <w:pStyle w:val="37"/>
        <w:spacing w:line="580" w:lineRule="exact"/>
        <w:ind w:firstLine="560"/>
        <w:rPr>
          <w:color w:val="000000"/>
          <w:sz w:val="28"/>
          <w:szCs w:val="28"/>
        </w:rPr>
      </w:pPr>
      <w:r>
        <w:rPr>
          <w:rFonts w:hint="eastAsia"/>
          <w:color w:val="000000"/>
          <w:sz w:val="28"/>
          <w:szCs w:val="28"/>
        </w:rPr>
        <w:t>(十三)《山西省城乡规划条例》（</w:t>
      </w:r>
      <w:r>
        <w:rPr>
          <w:color w:val="000000"/>
          <w:sz w:val="28"/>
          <w:szCs w:val="28"/>
        </w:rPr>
        <w:t>2010</w:t>
      </w:r>
      <w:r>
        <w:rPr>
          <w:rFonts w:hint="eastAsia"/>
          <w:color w:val="000000"/>
          <w:sz w:val="28"/>
          <w:szCs w:val="28"/>
        </w:rPr>
        <w:t>年）；</w:t>
      </w:r>
    </w:p>
    <w:p w14:paraId="3CA287B0">
      <w:pPr>
        <w:pStyle w:val="37"/>
        <w:spacing w:line="580" w:lineRule="exact"/>
        <w:ind w:firstLine="560"/>
        <w:rPr>
          <w:color w:val="000000"/>
          <w:sz w:val="28"/>
          <w:szCs w:val="28"/>
        </w:rPr>
      </w:pPr>
      <w:r>
        <w:rPr>
          <w:rFonts w:hint="eastAsia"/>
          <w:color w:val="000000"/>
          <w:sz w:val="28"/>
          <w:szCs w:val="28"/>
        </w:rPr>
        <w:t>(十四)《晋城市城乡规划管理技术规定》（</w:t>
      </w:r>
      <w:r>
        <w:rPr>
          <w:color w:val="000000"/>
          <w:sz w:val="28"/>
          <w:szCs w:val="28"/>
        </w:rPr>
        <w:t>2011</w:t>
      </w:r>
      <w:r>
        <w:rPr>
          <w:rFonts w:hint="eastAsia"/>
          <w:color w:val="000000"/>
          <w:sz w:val="28"/>
          <w:szCs w:val="28"/>
        </w:rPr>
        <w:t>年）；</w:t>
      </w:r>
    </w:p>
    <w:p w14:paraId="33955BC7">
      <w:pPr>
        <w:pStyle w:val="37"/>
        <w:spacing w:line="580" w:lineRule="exact"/>
        <w:ind w:firstLine="560"/>
        <w:rPr>
          <w:color w:val="000000"/>
          <w:sz w:val="28"/>
          <w:szCs w:val="28"/>
        </w:rPr>
      </w:pPr>
      <w:r>
        <w:rPr>
          <w:color w:val="000000"/>
          <w:sz w:val="28"/>
          <w:szCs w:val="28"/>
        </w:rPr>
        <w:t>(</w:t>
      </w:r>
      <w:r>
        <w:rPr>
          <w:rFonts w:hint="eastAsia"/>
          <w:color w:val="000000"/>
          <w:sz w:val="28"/>
          <w:szCs w:val="28"/>
        </w:rPr>
        <w:t>十五)《山西省建设工程抗震设防条理》（</w:t>
      </w:r>
      <w:r>
        <w:rPr>
          <w:color w:val="000000"/>
          <w:sz w:val="28"/>
          <w:szCs w:val="28"/>
        </w:rPr>
        <w:t>2015</w:t>
      </w:r>
      <w:r>
        <w:rPr>
          <w:rFonts w:hint="eastAsia"/>
          <w:color w:val="000000"/>
          <w:sz w:val="28"/>
          <w:szCs w:val="28"/>
        </w:rPr>
        <w:t>）；</w:t>
      </w:r>
    </w:p>
    <w:p w14:paraId="68756211">
      <w:pPr>
        <w:pStyle w:val="37"/>
        <w:spacing w:line="580" w:lineRule="exact"/>
        <w:ind w:firstLine="560"/>
        <w:rPr>
          <w:color w:val="000000"/>
          <w:sz w:val="28"/>
          <w:szCs w:val="28"/>
        </w:rPr>
      </w:pPr>
      <w:r>
        <w:rPr>
          <w:color w:val="000000"/>
          <w:sz w:val="28"/>
          <w:szCs w:val="28"/>
        </w:rPr>
        <w:t>(</w:t>
      </w:r>
      <w:r>
        <w:rPr>
          <w:rFonts w:hint="eastAsia"/>
          <w:color w:val="000000"/>
          <w:sz w:val="28"/>
          <w:szCs w:val="28"/>
        </w:rPr>
        <w:t>十六)住房和城乡建设部、山西省和晋城市其它相关标准、规范和政策。</w:t>
      </w:r>
    </w:p>
    <w:p w14:paraId="43D03CB4">
      <w:pPr>
        <w:pStyle w:val="38"/>
        <w:numPr>
          <w:ilvl w:val="0"/>
          <w:numId w:val="2"/>
        </w:numPr>
        <w:spacing w:before="0" w:beforeLines="0" w:after="0" w:afterLines="0" w:line="580" w:lineRule="exact"/>
        <w:ind w:left="0" w:firstLine="0"/>
        <w:rPr>
          <w:rFonts w:ascii="黑体" w:hAnsi="黑体"/>
          <w:b/>
        </w:rPr>
      </w:pPr>
      <w:bookmarkStart w:id="8" w:name="_Toc441214814"/>
      <w:bookmarkStart w:id="9" w:name="_Toc528317008"/>
      <w:r>
        <w:rPr>
          <w:rFonts w:hint="eastAsia" w:ascii="黑体" w:hAnsi="黑体"/>
          <w:b/>
        </w:rPr>
        <w:t>相关规划解读</w:t>
      </w:r>
      <w:bookmarkEnd w:id="7"/>
      <w:bookmarkEnd w:id="8"/>
      <w:bookmarkEnd w:id="9"/>
    </w:p>
    <w:p w14:paraId="22A680CF">
      <w:pPr>
        <w:pStyle w:val="47"/>
        <w:spacing w:line="580" w:lineRule="exact"/>
      </w:pPr>
      <w:r>
        <w:rPr>
          <w:rFonts w:hint="eastAsia"/>
        </w:rPr>
        <w:t>(一)《晋城市城市总体规划》（2008-2020）</w:t>
      </w:r>
    </w:p>
    <w:p w14:paraId="3F5712FA">
      <w:pPr>
        <w:pStyle w:val="37"/>
        <w:spacing w:line="580" w:lineRule="exact"/>
        <w:ind w:firstLine="560"/>
        <w:rPr>
          <w:color w:val="000000"/>
          <w:sz w:val="28"/>
          <w:szCs w:val="28"/>
        </w:rPr>
      </w:pPr>
      <w:r>
        <w:rPr>
          <w:rFonts w:hint="eastAsia"/>
          <w:color w:val="000000"/>
          <w:sz w:val="28"/>
          <w:szCs w:val="28"/>
        </w:rPr>
        <w:t>1、规划主要内容</w:t>
      </w:r>
    </w:p>
    <w:p w14:paraId="5F240A10">
      <w:pPr>
        <w:pStyle w:val="37"/>
        <w:spacing w:line="580" w:lineRule="exact"/>
        <w:ind w:firstLine="560"/>
        <w:rPr>
          <w:color w:val="000000"/>
          <w:sz w:val="28"/>
          <w:szCs w:val="28"/>
        </w:rPr>
      </w:pPr>
      <w:r>
        <w:rPr>
          <w:rFonts w:hint="eastAsia"/>
          <w:color w:val="000000"/>
          <w:sz w:val="28"/>
          <w:szCs w:val="28"/>
        </w:rPr>
        <w:t>1）城市性质：为能源、煤化工基地服务的城市，山西省东南部的区域中心城市，山西省通往中原的门户城市。</w:t>
      </w:r>
    </w:p>
    <w:p w14:paraId="4D3B94D4">
      <w:pPr>
        <w:pStyle w:val="37"/>
        <w:spacing w:line="580" w:lineRule="exact"/>
        <w:ind w:firstLine="560"/>
        <w:rPr>
          <w:color w:val="000000"/>
          <w:sz w:val="28"/>
          <w:szCs w:val="28"/>
        </w:rPr>
      </w:pPr>
      <w:r>
        <w:rPr>
          <w:rFonts w:hint="eastAsia"/>
          <w:color w:val="000000"/>
          <w:sz w:val="28"/>
          <w:szCs w:val="28"/>
        </w:rPr>
        <w:t>2）城市规模</w:t>
      </w:r>
    </w:p>
    <w:p w14:paraId="37B782EC">
      <w:pPr>
        <w:pStyle w:val="37"/>
        <w:spacing w:line="580" w:lineRule="exact"/>
        <w:ind w:firstLine="560"/>
        <w:rPr>
          <w:color w:val="000000"/>
          <w:sz w:val="28"/>
          <w:szCs w:val="28"/>
        </w:rPr>
      </w:pPr>
      <w:r>
        <w:rPr>
          <w:rFonts w:hint="eastAsia"/>
          <w:color w:val="000000"/>
          <w:sz w:val="28"/>
          <w:szCs w:val="28"/>
        </w:rPr>
        <w:t>人口规模：近期（2010年）50万人左右；远期（2020年）70万人左右。</w:t>
      </w:r>
    </w:p>
    <w:p w14:paraId="04BF6B1B">
      <w:pPr>
        <w:pStyle w:val="37"/>
        <w:spacing w:line="580" w:lineRule="exact"/>
        <w:ind w:firstLine="560"/>
        <w:rPr>
          <w:color w:val="000000"/>
          <w:sz w:val="28"/>
          <w:szCs w:val="28"/>
        </w:rPr>
      </w:pPr>
      <w:r>
        <w:rPr>
          <w:rFonts w:hint="eastAsia"/>
          <w:color w:val="000000"/>
          <w:sz w:val="28"/>
          <w:szCs w:val="28"/>
        </w:rPr>
        <w:t>用地规模：近期（2010年）城市建设用地为55km2，人均110m</w:t>
      </w:r>
      <w:r>
        <w:rPr>
          <w:rFonts w:hint="eastAsia"/>
          <w:color w:val="000000"/>
          <w:sz w:val="28"/>
          <w:szCs w:val="28"/>
          <w:vertAlign w:val="superscript"/>
        </w:rPr>
        <w:t>2</w:t>
      </w:r>
      <w:r>
        <w:rPr>
          <w:rFonts w:hint="eastAsia"/>
          <w:color w:val="000000"/>
          <w:sz w:val="28"/>
          <w:szCs w:val="28"/>
        </w:rPr>
        <w:t>；</w:t>
      </w:r>
    </w:p>
    <w:p w14:paraId="5697B076">
      <w:pPr>
        <w:pStyle w:val="47"/>
        <w:spacing w:line="580" w:lineRule="exact"/>
      </w:pPr>
      <w:r>
        <w:rPr>
          <w:rFonts w:hint="eastAsia"/>
        </w:rPr>
        <w:t>远期（2020年）城市建设用地为76.2km2，人均108.9m</w:t>
      </w:r>
      <w:r>
        <w:rPr>
          <w:rFonts w:hint="eastAsia"/>
          <w:vertAlign w:val="superscript"/>
        </w:rPr>
        <w:t>2</w:t>
      </w:r>
      <w:r>
        <w:rPr>
          <w:rFonts w:hint="eastAsia"/>
        </w:rPr>
        <w:t>。</w:t>
      </w:r>
    </w:p>
    <w:p w14:paraId="02EFA544">
      <w:pPr>
        <w:pStyle w:val="37"/>
        <w:spacing w:line="580" w:lineRule="exact"/>
        <w:ind w:firstLine="560"/>
        <w:rPr>
          <w:color w:val="000000"/>
          <w:sz w:val="28"/>
          <w:szCs w:val="28"/>
        </w:rPr>
      </w:pPr>
      <w:r>
        <w:rPr>
          <w:rFonts w:hint="eastAsia"/>
          <w:color w:val="000000"/>
          <w:sz w:val="28"/>
          <w:szCs w:val="28"/>
        </w:rPr>
        <w:t>3）发展目标：经济发达、社会和谐、环境友好、生态园林式的宜居城市。</w:t>
      </w:r>
    </w:p>
    <w:p w14:paraId="1FA70C7F">
      <w:pPr>
        <w:pStyle w:val="37"/>
        <w:spacing w:line="580" w:lineRule="exact"/>
        <w:ind w:firstLine="560"/>
        <w:rPr>
          <w:color w:val="000000"/>
          <w:sz w:val="28"/>
          <w:szCs w:val="28"/>
        </w:rPr>
      </w:pPr>
      <w:r>
        <w:rPr>
          <w:rFonts w:hint="eastAsia"/>
          <w:color w:val="000000"/>
          <w:sz w:val="28"/>
          <w:szCs w:val="28"/>
        </w:rPr>
        <w:t>4）市域人口规模和城镇化水平：</w:t>
      </w:r>
    </w:p>
    <w:p w14:paraId="5E5219FE">
      <w:pPr>
        <w:pStyle w:val="37"/>
        <w:spacing w:line="580" w:lineRule="exact"/>
        <w:ind w:firstLine="560"/>
        <w:rPr>
          <w:color w:val="000000"/>
          <w:sz w:val="28"/>
          <w:szCs w:val="28"/>
        </w:rPr>
      </w:pPr>
      <w:r>
        <w:rPr>
          <w:rFonts w:hint="eastAsia"/>
          <w:color w:val="000000"/>
          <w:sz w:val="28"/>
          <w:szCs w:val="28"/>
        </w:rPr>
        <w:t>规划市域总人口</w:t>
      </w:r>
      <w:r>
        <w:rPr>
          <w:color w:val="000000"/>
          <w:sz w:val="28"/>
          <w:szCs w:val="28"/>
        </w:rPr>
        <w:t>近期（20</w:t>
      </w:r>
      <w:r>
        <w:rPr>
          <w:rFonts w:hint="eastAsia"/>
          <w:color w:val="000000"/>
          <w:sz w:val="28"/>
          <w:szCs w:val="28"/>
        </w:rPr>
        <w:t>10</w:t>
      </w:r>
      <w:r>
        <w:rPr>
          <w:color w:val="000000"/>
          <w:sz w:val="28"/>
          <w:szCs w:val="28"/>
        </w:rPr>
        <w:t>年）为2</w:t>
      </w:r>
      <w:r>
        <w:rPr>
          <w:rFonts w:hint="eastAsia"/>
          <w:color w:val="000000"/>
          <w:sz w:val="28"/>
          <w:szCs w:val="28"/>
        </w:rPr>
        <w:t>30</w:t>
      </w:r>
      <w:r>
        <w:rPr>
          <w:color w:val="000000"/>
          <w:sz w:val="28"/>
          <w:szCs w:val="28"/>
        </w:rPr>
        <w:t>万人，远期（2020年）为255万人</w:t>
      </w:r>
      <w:r>
        <w:rPr>
          <w:rFonts w:hint="eastAsia"/>
          <w:color w:val="000000"/>
          <w:sz w:val="28"/>
          <w:szCs w:val="28"/>
        </w:rPr>
        <w:t>。预测市域城镇化水平近期（2010年）为48.4%，远期（2020年）为59%。</w:t>
      </w:r>
    </w:p>
    <w:p w14:paraId="0021EE02">
      <w:pPr>
        <w:spacing w:line="580" w:lineRule="exact"/>
        <w:jc w:val="center"/>
        <w:rPr>
          <w:rFonts w:ascii="宋体" w:hAnsi="宋体"/>
          <w:b/>
          <w:sz w:val="28"/>
          <w:szCs w:val="28"/>
        </w:rPr>
      </w:pPr>
      <w:r>
        <w:rPr>
          <w:rFonts w:hint="eastAsia" w:ascii="宋体" w:hAnsi="宋体"/>
          <w:b/>
          <w:sz w:val="28"/>
          <w:szCs w:val="28"/>
        </w:rPr>
        <w:t>表1</w:t>
      </w:r>
      <w:r>
        <w:rPr>
          <w:rFonts w:ascii="宋体" w:hAnsi="宋体"/>
          <w:b/>
          <w:sz w:val="28"/>
          <w:szCs w:val="28"/>
        </w:rPr>
        <w:t xml:space="preserve">  </w:t>
      </w:r>
      <w:r>
        <w:rPr>
          <w:rFonts w:hint="eastAsia" w:ascii="宋体" w:hAnsi="宋体"/>
          <w:b/>
          <w:sz w:val="28"/>
          <w:szCs w:val="28"/>
        </w:rPr>
        <w:t>市域及各县（市、区）总人口规模规划表</w:t>
      </w:r>
    </w:p>
    <w:p w14:paraId="060E669C">
      <w:pPr>
        <w:pStyle w:val="48"/>
        <w:jc w:val="right"/>
      </w:pPr>
      <w:r>
        <w:rPr>
          <w:rFonts w:hint="eastAsia"/>
        </w:rPr>
        <w:t xml:space="preserve">         （单位：万人）</w:t>
      </w:r>
    </w:p>
    <w:tbl>
      <w:tblPr>
        <w:tblStyle w:val="21"/>
        <w:tblW w:w="493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739"/>
        <w:gridCol w:w="1841"/>
        <w:gridCol w:w="2169"/>
        <w:gridCol w:w="2221"/>
      </w:tblGrid>
      <w:tr w14:paraId="78E51D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exact"/>
          <w:jc w:val="center"/>
        </w:trPr>
        <w:tc>
          <w:tcPr>
            <w:tcW w:w="1527" w:type="pct"/>
            <w:vAlign w:val="center"/>
          </w:tcPr>
          <w:p w14:paraId="6F0E3C35">
            <w:pPr>
              <w:pStyle w:val="48"/>
            </w:pPr>
            <w:r>
              <w:rPr>
                <w:rFonts w:hint="eastAsia"/>
              </w:rPr>
              <w:t>地区</w:t>
            </w:r>
          </w:p>
        </w:tc>
        <w:tc>
          <w:tcPr>
            <w:tcW w:w="1026" w:type="pct"/>
            <w:vAlign w:val="center"/>
          </w:tcPr>
          <w:p w14:paraId="6A24EBED">
            <w:pPr>
              <w:pStyle w:val="48"/>
            </w:pPr>
            <w:r>
              <w:rPr>
                <w:rFonts w:hint="eastAsia"/>
              </w:rPr>
              <w:t>2007年</w:t>
            </w:r>
          </w:p>
        </w:tc>
        <w:tc>
          <w:tcPr>
            <w:tcW w:w="1209" w:type="pct"/>
            <w:vAlign w:val="center"/>
          </w:tcPr>
          <w:p w14:paraId="6F5BB992">
            <w:pPr>
              <w:pStyle w:val="48"/>
            </w:pPr>
            <w:r>
              <w:t>2010</w:t>
            </w:r>
            <w:r>
              <w:rPr>
                <w:rFonts w:hint="eastAsia"/>
              </w:rPr>
              <w:t>年</w:t>
            </w:r>
          </w:p>
        </w:tc>
        <w:tc>
          <w:tcPr>
            <w:tcW w:w="1239" w:type="pct"/>
            <w:vAlign w:val="center"/>
          </w:tcPr>
          <w:p w14:paraId="3E27BBDF">
            <w:pPr>
              <w:pStyle w:val="48"/>
            </w:pPr>
            <w:r>
              <w:t>2020</w:t>
            </w:r>
            <w:r>
              <w:rPr>
                <w:rFonts w:hint="eastAsia"/>
              </w:rPr>
              <w:t>年</w:t>
            </w:r>
          </w:p>
        </w:tc>
      </w:tr>
      <w:tr w14:paraId="5AA9A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exact"/>
          <w:jc w:val="center"/>
        </w:trPr>
        <w:tc>
          <w:tcPr>
            <w:tcW w:w="1527" w:type="pct"/>
            <w:vAlign w:val="center"/>
          </w:tcPr>
          <w:p w14:paraId="0F51EF96">
            <w:pPr>
              <w:pStyle w:val="48"/>
            </w:pPr>
            <w:r>
              <w:rPr>
                <w:rFonts w:hint="eastAsia"/>
              </w:rPr>
              <w:t>市域</w:t>
            </w:r>
          </w:p>
        </w:tc>
        <w:tc>
          <w:tcPr>
            <w:tcW w:w="1026" w:type="pct"/>
            <w:vAlign w:val="center"/>
          </w:tcPr>
          <w:p w14:paraId="343949DD">
            <w:pPr>
              <w:pStyle w:val="48"/>
            </w:pPr>
            <w:r>
              <w:rPr>
                <w:rFonts w:hint="eastAsia"/>
              </w:rPr>
              <w:t>222.3</w:t>
            </w:r>
          </w:p>
        </w:tc>
        <w:tc>
          <w:tcPr>
            <w:tcW w:w="1209" w:type="pct"/>
            <w:vAlign w:val="center"/>
          </w:tcPr>
          <w:p w14:paraId="1FC712DD">
            <w:pPr>
              <w:pStyle w:val="48"/>
            </w:pPr>
            <w:r>
              <w:rPr>
                <w:rFonts w:hint="eastAsia"/>
              </w:rPr>
              <w:t>230</w:t>
            </w:r>
          </w:p>
        </w:tc>
        <w:tc>
          <w:tcPr>
            <w:tcW w:w="1239" w:type="pct"/>
            <w:vAlign w:val="center"/>
          </w:tcPr>
          <w:p w14:paraId="65D50D0C">
            <w:pPr>
              <w:pStyle w:val="48"/>
            </w:pPr>
            <w:r>
              <w:rPr>
                <w:rFonts w:hint="eastAsia"/>
              </w:rPr>
              <w:t>255</w:t>
            </w:r>
          </w:p>
        </w:tc>
      </w:tr>
      <w:tr w14:paraId="37566F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exact"/>
          <w:jc w:val="center"/>
        </w:trPr>
        <w:tc>
          <w:tcPr>
            <w:tcW w:w="1527" w:type="pct"/>
            <w:vAlign w:val="center"/>
          </w:tcPr>
          <w:p w14:paraId="4C98433B">
            <w:pPr>
              <w:pStyle w:val="48"/>
            </w:pPr>
            <w:r>
              <w:rPr>
                <w:rFonts w:hint="eastAsia"/>
              </w:rPr>
              <w:t>市区（含城区、泽州）</w:t>
            </w:r>
          </w:p>
        </w:tc>
        <w:tc>
          <w:tcPr>
            <w:tcW w:w="1026" w:type="pct"/>
            <w:vAlign w:val="center"/>
          </w:tcPr>
          <w:p w14:paraId="29D372E2">
            <w:pPr>
              <w:pStyle w:val="48"/>
            </w:pPr>
            <w:r>
              <w:rPr>
                <w:rFonts w:hint="eastAsia"/>
              </w:rPr>
              <w:t>84.7</w:t>
            </w:r>
          </w:p>
        </w:tc>
        <w:tc>
          <w:tcPr>
            <w:tcW w:w="1209" w:type="pct"/>
            <w:vAlign w:val="center"/>
          </w:tcPr>
          <w:p w14:paraId="07032AAB">
            <w:pPr>
              <w:pStyle w:val="48"/>
            </w:pPr>
            <w:r>
              <w:rPr>
                <w:rFonts w:hint="eastAsia"/>
              </w:rPr>
              <w:t>90</w:t>
            </w:r>
          </w:p>
        </w:tc>
        <w:tc>
          <w:tcPr>
            <w:tcW w:w="1239" w:type="pct"/>
            <w:vAlign w:val="center"/>
          </w:tcPr>
          <w:p w14:paraId="0611774A">
            <w:pPr>
              <w:pStyle w:val="48"/>
            </w:pPr>
            <w:r>
              <w:rPr>
                <w:rFonts w:hint="eastAsia"/>
              </w:rPr>
              <w:t>105.5</w:t>
            </w:r>
          </w:p>
        </w:tc>
      </w:tr>
      <w:tr w14:paraId="178CF9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exact"/>
          <w:jc w:val="center"/>
        </w:trPr>
        <w:tc>
          <w:tcPr>
            <w:tcW w:w="1527" w:type="pct"/>
            <w:vAlign w:val="center"/>
          </w:tcPr>
          <w:p w14:paraId="5914B3C4">
            <w:pPr>
              <w:pStyle w:val="48"/>
            </w:pPr>
            <w:r>
              <w:rPr>
                <w:rFonts w:hint="eastAsia"/>
              </w:rPr>
              <w:t>高平市</w:t>
            </w:r>
          </w:p>
        </w:tc>
        <w:tc>
          <w:tcPr>
            <w:tcW w:w="1026" w:type="pct"/>
            <w:vAlign w:val="center"/>
          </w:tcPr>
          <w:p w14:paraId="3D3E1014">
            <w:pPr>
              <w:pStyle w:val="48"/>
            </w:pPr>
            <w:r>
              <w:rPr>
                <w:rFonts w:hint="eastAsia"/>
              </w:rPr>
              <w:t>48.7</w:t>
            </w:r>
          </w:p>
        </w:tc>
        <w:tc>
          <w:tcPr>
            <w:tcW w:w="1209" w:type="pct"/>
            <w:vAlign w:val="center"/>
          </w:tcPr>
          <w:p w14:paraId="0446357A">
            <w:pPr>
              <w:pStyle w:val="48"/>
            </w:pPr>
            <w:r>
              <w:rPr>
                <w:rFonts w:hint="eastAsia"/>
              </w:rPr>
              <w:t>50</w:t>
            </w:r>
          </w:p>
        </w:tc>
        <w:tc>
          <w:tcPr>
            <w:tcW w:w="1239" w:type="pct"/>
            <w:vAlign w:val="center"/>
          </w:tcPr>
          <w:p w14:paraId="584CFD94">
            <w:pPr>
              <w:pStyle w:val="48"/>
            </w:pPr>
            <w:r>
              <w:rPr>
                <w:rFonts w:hint="eastAsia"/>
              </w:rPr>
              <w:t>56</w:t>
            </w:r>
          </w:p>
        </w:tc>
      </w:tr>
      <w:tr w14:paraId="2E7D7F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exact"/>
          <w:jc w:val="center"/>
        </w:trPr>
        <w:tc>
          <w:tcPr>
            <w:tcW w:w="1527" w:type="pct"/>
            <w:vAlign w:val="center"/>
          </w:tcPr>
          <w:p w14:paraId="414EECD1">
            <w:pPr>
              <w:pStyle w:val="48"/>
            </w:pPr>
            <w:r>
              <w:rPr>
                <w:rFonts w:hint="eastAsia"/>
              </w:rPr>
              <w:t>阳城市</w:t>
            </w:r>
          </w:p>
        </w:tc>
        <w:tc>
          <w:tcPr>
            <w:tcW w:w="1026" w:type="pct"/>
            <w:vAlign w:val="center"/>
          </w:tcPr>
          <w:p w14:paraId="0699D8FD">
            <w:pPr>
              <w:pStyle w:val="48"/>
            </w:pPr>
            <w:r>
              <w:rPr>
                <w:rFonts w:hint="eastAsia"/>
              </w:rPr>
              <w:t>41.4</w:t>
            </w:r>
          </w:p>
        </w:tc>
        <w:tc>
          <w:tcPr>
            <w:tcW w:w="1209" w:type="pct"/>
            <w:vAlign w:val="center"/>
          </w:tcPr>
          <w:p w14:paraId="3649B074">
            <w:pPr>
              <w:pStyle w:val="48"/>
            </w:pPr>
            <w:r>
              <w:rPr>
                <w:rFonts w:hint="eastAsia"/>
              </w:rPr>
              <w:t>42</w:t>
            </w:r>
          </w:p>
        </w:tc>
        <w:tc>
          <w:tcPr>
            <w:tcW w:w="1239" w:type="pct"/>
            <w:vAlign w:val="center"/>
          </w:tcPr>
          <w:p w14:paraId="129ADE53">
            <w:pPr>
              <w:pStyle w:val="48"/>
            </w:pPr>
            <w:r>
              <w:rPr>
                <w:rFonts w:hint="eastAsia"/>
              </w:rPr>
              <w:t>43</w:t>
            </w:r>
          </w:p>
        </w:tc>
      </w:tr>
      <w:tr w14:paraId="29659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exact"/>
          <w:jc w:val="center"/>
        </w:trPr>
        <w:tc>
          <w:tcPr>
            <w:tcW w:w="1527" w:type="pct"/>
            <w:vAlign w:val="center"/>
          </w:tcPr>
          <w:p w14:paraId="3DCD6331">
            <w:pPr>
              <w:pStyle w:val="48"/>
            </w:pPr>
            <w:r>
              <w:rPr>
                <w:rFonts w:hint="eastAsia"/>
              </w:rPr>
              <w:t>沁水县</w:t>
            </w:r>
          </w:p>
        </w:tc>
        <w:tc>
          <w:tcPr>
            <w:tcW w:w="1026" w:type="pct"/>
            <w:vAlign w:val="center"/>
          </w:tcPr>
          <w:p w14:paraId="4792C4AC">
            <w:pPr>
              <w:pStyle w:val="48"/>
            </w:pPr>
            <w:r>
              <w:rPr>
                <w:rFonts w:hint="eastAsia"/>
              </w:rPr>
              <w:t>21.7</w:t>
            </w:r>
          </w:p>
        </w:tc>
        <w:tc>
          <w:tcPr>
            <w:tcW w:w="1209" w:type="pct"/>
            <w:vAlign w:val="center"/>
          </w:tcPr>
          <w:p w14:paraId="5FD02DDB">
            <w:pPr>
              <w:pStyle w:val="48"/>
            </w:pPr>
            <w:r>
              <w:rPr>
                <w:rFonts w:hint="eastAsia"/>
              </w:rPr>
              <w:t>22</w:t>
            </w:r>
          </w:p>
        </w:tc>
        <w:tc>
          <w:tcPr>
            <w:tcW w:w="1239" w:type="pct"/>
            <w:vAlign w:val="center"/>
          </w:tcPr>
          <w:p w14:paraId="053FC466">
            <w:pPr>
              <w:pStyle w:val="48"/>
            </w:pPr>
            <w:r>
              <w:rPr>
                <w:rFonts w:hint="eastAsia"/>
              </w:rPr>
              <w:t>23.5</w:t>
            </w:r>
          </w:p>
        </w:tc>
      </w:tr>
      <w:tr w14:paraId="24AB12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exact"/>
          <w:jc w:val="center"/>
        </w:trPr>
        <w:tc>
          <w:tcPr>
            <w:tcW w:w="1527" w:type="pct"/>
            <w:vAlign w:val="center"/>
          </w:tcPr>
          <w:p w14:paraId="0BB85962">
            <w:pPr>
              <w:pStyle w:val="48"/>
            </w:pPr>
            <w:r>
              <w:rPr>
                <w:rFonts w:hint="eastAsia"/>
              </w:rPr>
              <w:t>陵川县</w:t>
            </w:r>
          </w:p>
        </w:tc>
        <w:tc>
          <w:tcPr>
            <w:tcW w:w="1026" w:type="pct"/>
            <w:vAlign w:val="center"/>
          </w:tcPr>
          <w:p w14:paraId="11FE3D19">
            <w:pPr>
              <w:pStyle w:val="48"/>
            </w:pPr>
            <w:r>
              <w:rPr>
                <w:rFonts w:hint="eastAsia"/>
              </w:rPr>
              <w:t>25.8</w:t>
            </w:r>
          </w:p>
        </w:tc>
        <w:tc>
          <w:tcPr>
            <w:tcW w:w="1209" w:type="pct"/>
            <w:vAlign w:val="center"/>
          </w:tcPr>
          <w:p w14:paraId="24F398E9">
            <w:pPr>
              <w:pStyle w:val="48"/>
            </w:pPr>
            <w:r>
              <w:rPr>
                <w:rFonts w:hint="eastAsia"/>
              </w:rPr>
              <w:t>26</w:t>
            </w:r>
          </w:p>
        </w:tc>
        <w:tc>
          <w:tcPr>
            <w:tcW w:w="1239" w:type="pct"/>
            <w:vAlign w:val="center"/>
          </w:tcPr>
          <w:p w14:paraId="4926A86C">
            <w:pPr>
              <w:pStyle w:val="48"/>
            </w:pPr>
            <w:r>
              <w:rPr>
                <w:rFonts w:hint="eastAsia"/>
              </w:rPr>
              <w:t>27</w:t>
            </w:r>
          </w:p>
        </w:tc>
      </w:tr>
    </w:tbl>
    <w:p w14:paraId="5C14FD41">
      <w:pPr>
        <w:pStyle w:val="37"/>
        <w:spacing w:line="580" w:lineRule="exact"/>
        <w:ind w:firstLine="560"/>
        <w:rPr>
          <w:color w:val="000000"/>
          <w:sz w:val="28"/>
          <w:szCs w:val="28"/>
        </w:rPr>
      </w:pPr>
      <w:r>
        <w:rPr>
          <w:rFonts w:hint="eastAsia"/>
          <w:color w:val="000000"/>
          <w:sz w:val="28"/>
          <w:szCs w:val="28"/>
        </w:rPr>
        <w:t>5）城镇体系职能机构</w:t>
      </w:r>
    </w:p>
    <w:p w14:paraId="266D01B9">
      <w:pPr>
        <w:pStyle w:val="37"/>
        <w:spacing w:line="580" w:lineRule="exact"/>
        <w:ind w:firstLine="560"/>
        <w:rPr>
          <w:color w:val="000000"/>
          <w:sz w:val="28"/>
          <w:szCs w:val="28"/>
        </w:rPr>
      </w:pPr>
      <w:r>
        <w:rPr>
          <w:rFonts w:hint="eastAsia"/>
          <w:color w:val="000000"/>
          <w:sz w:val="28"/>
          <w:szCs w:val="28"/>
        </w:rPr>
        <w:t>市域城镇在职能层次上划分为市域中心城市、市域副中心城市、市域中心城镇、市域重点城镇和市域一般城镇五级；在职能类型上划分为综合型、工贸型、地方服务型三大类型。其中，市域中心城市为晋城市中心城市；市域副中心城市两个，高平市区、阳城市区；市域中心城镇两个，沁水县城、陵川县城。职能类型均为综合型。重点镇十三个，为工贸型；一般城镇27个，为地方服务型。</w:t>
      </w:r>
    </w:p>
    <w:p w14:paraId="4A07D817">
      <w:pPr>
        <w:pStyle w:val="37"/>
        <w:spacing w:line="580" w:lineRule="exact"/>
        <w:ind w:firstLine="560"/>
        <w:rPr>
          <w:color w:val="000000"/>
          <w:sz w:val="28"/>
          <w:szCs w:val="28"/>
        </w:rPr>
      </w:pPr>
      <w:r>
        <w:rPr>
          <w:rFonts w:hint="eastAsia"/>
          <w:color w:val="000000"/>
          <w:sz w:val="28"/>
          <w:szCs w:val="28"/>
        </w:rPr>
        <w:t>6）市域城镇体系空间结构</w:t>
      </w:r>
    </w:p>
    <w:p w14:paraId="55AFF2C6">
      <w:pPr>
        <w:pStyle w:val="37"/>
        <w:spacing w:line="580" w:lineRule="exact"/>
        <w:ind w:firstLine="560"/>
        <w:rPr>
          <w:color w:val="000000"/>
          <w:sz w:val="28"/>
          <w:szCs w:val="28"/>
        </w:rPr>
      </w:pPr>
      <w:r>
        <w:rPr>
          <w:rFonts w:hint="eastAsia"/>
          <w:color w:val="000000"/>
          <w:sz w:val="28"/>
          <w:szCs w:val="28"/>
        </w:rPr>
        <w:t>采取“中心集聚，网络组合，区域协作”的和谐发展策略，以区域经济布局为基础、交通干线布局为依托、对外经济联系主导方向为引导，沿“二纵二横”四条产业发展轴带形成“井”字形城镇空间布局结构。</w:t>
      </w:r>
    </w:p>
    <w:p w14:paraId="47A82BF1">
      <w:pPr>
        <w:pStyle w:val="37"/>
        <w:spacing w:line="580" w:lineRule="exact"/>
        <w:ind w:firstLine="560"/>
        <w:rPr>
          <w:color w:val="000000"/>
          <w:sz w:val="28"/>
          <w:szCs w:val="28"/>
        </w:rPr>
      </w:pPr>
      <w:r>
        <w:rPr>
          <w:rFonts w:hint="eastAsia"/>
          <w:color w:val="000000"/>
          <w:sz w:val="28"/>
          <w:szCs w:val="28"/>
        </w:rPr>
        <w:t>2、总体认识</w:t>
      </w:r>
    </w:p>
    <w:p w14:paraId="12A4709D">
      <w:pPr>
        <w:pStyle w:val="37"/>
        <w:spacing w:line="580" w:lineRule="exact"/>
        <w:ind w:firstLine="560"/>
        <w:rPr>
          <w:kern w:val="1"/>
          <w:sz w:val="28"/>
          <w:szCs w:val="28"/>
        </w:rPr>
      </w:pPr>
      <w:r>
        <w:rPr>
          <w:rFonts w:hint="eastAsia"/>
          <w:kern w:val="1"/>
          <w:sz w:val="28"/>
          <w:szCs w:val="28"/>
        </w:rPr>
        <w:t>晋城市总规是指导晋城市域各城镇发展的主要规划，</w:t>
      </w:r>
      <w:r>
        <w:rPr>
          <w:kern w:val="1"/>
          <w:sz w:val="28"/>
          <w:szCs w:val="28"/>
        </w:rPr>
        <w:t>从近几年的发展来看，各城镇的主要职能基本上都是按照规划职能和发展方向进行的。</w:t>
      </w:r>
    </w:p>
    <w:p w14:paraId="17629E78">
      <w:pPr>
        <w:pStyle w:val="37"/>
        <w:spacing w:line="580" w:lineRule="exact"/>
        <w:ind w:firstLine="560"/>
        <w:rPr>
          <w:kern w:val="1"/>
          <w:sz w:val="28"/>
          <w:szCs w:val="28"/>
        </w:rPr>
      </w:pPr>
      <w:r>
        <w:rPr>
          <w:rFonts w:hint="eastAsia"/>
          <w:kern w:val="1"/>
          <w:sz w:val="28"/>
          <w:szCs w:val="28"/>
        </w:rPr>
        <w:t>该规划将陵川县确定为五级城镇等级中的第三级，为综合型市域中心城镇，位于两纵两横“井”字型城镇空间结构的第一横，并规划建设陵川至新乡二级公路，打通与河南省的交通联系。重点建设优质玉米基地和中药材生产基地；加大旅游资源开发，与高平和泽州打造“神奇太行，经典晋城”的旅游品牌形象。陵川东部以发展旅游业为主，突出自然山水旅游和宗教文化旅游，构筑旅游产业体系。陵川在近几年的发展过程中，基本实现了西北部农业生产基地、东部生态旅游的产业发展格局。但在规模等级结构中确定陵川县城2020年人口为7万人，2016年底陵川县城常驻人口已达到7.3万人，该规划在人口规模预测中略有偏差。</w:t>
      </w:r>
    </w:p>
    <w:p w14:paraId="6B63FAF9">
      <w:pPr>
        <w:pStyle w:val="37"/>
        <w:spacing w:line="580" w:lineRule="exact"/>
        <w:ind w:firstLine="560"/>
        <w:rPr>
          <w:kern w:val="1"/>
          <w:sz w:val="28"/>
          <w:szCs w:val="28"/>
        </w:rPr>
      </w:pPr>
      <w:r>
        <w:rPr>
          <w:rFonts w:hint="eastAsia"/>
          <w:kern w:val="1"/>
          <w:sz w:val="28"/>
          <w:szCs w:val="28"/>
        </w:rPr>
        <w:t>该规划明确了陵川县在晋城市域中所承担的城镇职能，确定了陵川在城镇组群中的区域定位，对陵川县的未来发展及总体规划的编制起到了应有的指导作用。</w:t>
      </w:r>
    </w:p>
    <w:p w14:paraId="31E359E4">
      <w:pPr>
        <w:pStyle w:val="47"/>
        <w:spacing w:line="580" w:lineRule="exact"/>
      </w:pPr>
      <w:r>
        <w:rPr>
          <w:rFonts w:hint="eastAsia"/>
        </w:rPr>
        <w:t>(二)《陵川县县城总体规划》（2011-2020）</w:t>
      </w:r>
    </w:p>
    <w:p w14:paraId="20580908">
      <w:pPr>
        <w:pStyle w:val="37"/>
        <w:spacing w:line="580" w:lineRule="exact"/>
        <w:ind w:firstLine="560"/>
        <w:rPr>
          <w:kern w:val="1"/>
          <w:sz w:val="28"/>
          <w:szCs w:val="28"/>
        </w:rPr>
      </w:pPr>
      <w:r>
        <w:rPr>
          <w:rFonts w:hint="eastAsia"/>
          <w:kern w:val="1"/>
          <w:sz w:val="28"/>
          <w:szCs w:val="28"/>
        </w:rPr>
        <w:t>1、规划主要内容</w:t>
      </w:r>
    </w:p>
    <w:p w14:paraId="4C62B024">
      <w:pPr>
        <w:pStyle w:val="37"/>
        <w:spacing w:line="580" w:lineRule="exact"/>
        <w:ind w:firstLine="560"/>
        <w:rPr>
          <w:kern w:val="1"/>
          <w:sz w:val="28"/>
          <w:szCs w:val="28"/>
        </w:rPr>
      </w:pPr>
      <w:r>
        <w:rPr>
          <w:rFonts w:hint="eastAsia"/>
          <w:kern w:val="1"/>
          <w:sz w:val="28"/>
          <w:szCs w:val="28"/>
        </w:rPr>
        <w:t>1）城市性质：陵川县政治、经济、文化中心，具有休闲旅游健康度假功能的生态旅游服务城市。</w:t>
      </w:r>
    </w:p>
    <w:p w14:paraId="0891FCF6">
      <w:pPr>
        <w:pStyle w:val="37"/>
        <w:spacing w:line="580" w:lineRule="exact"/>
        <w:ind w:firstLine="560"/>
        <w:rPr>
          <w:kern w:val="1"/>
          <w:sz w:val="28"/>
          <w:szCs w:val="28"/>
        </w:rPr>
      </w:pPr>
      <w:r>
        <w:rPr>
          <w:rFonts w:hint="eastAsia"/>
          <w:kern w:val="1"/>
          <w:sz w:val="28"/>
          <w:szCs w:val="28"/>
        </w:rPr>
        <w:t>2）城市规模：远期（2030年）规划城市人口规模为9.9万人；远期（2030年）规划城市建设用地规模10.82km</w:t>
      </w:r>
      <w:r>
        <w:rPr>
          <w:rFonts w:hint="eastAsia"/>
          <w:kern w:val="1"/>
          <w:sz w:val="28"/>
          <w:szCs w:val="28"/>
          <w:vertAlign w:val="superscript"/>
        </w:rPr>
        <w:t>2</w:t>
      </w:r>
      <w:r>
        <w:rPr>
          <w:rFonts w:hint="eastAsia"/>
          <w:kern w:val="1"/>
          <w:sz w:val="28"/>
          <w:szCs w:val="28"/>
        </w:rPr>
        <w:t>，人均建设用地109.24m</w:t>
      </w:r>
      <w:r>
        <w:rPr>
          <w:rFonts w:hint="eastAsia"/>
          <w:kern w:val="1"/>
          <w:sz w:val="28"/>
          <w:szCs w:val="28"/>
          <w:vertAlign w:val="superscript"/>
        </w:rPr>
        <w:t>2</w:t>
      </w:r>
      <w:r>
        <w:rPr>
          <w:rFonts w:hint="eastAsia"/>
          <w:kern w:val="1"/>
          <w:sz w:val="28"/>
          <w:szCs w:val="28"/>
        </w:rPr>
        <w:t>。</w:t>
      </w:r>
    </w:p>
    <w:p w14:paraId="00D72284">
      <w:pPr>
        <w:pStyle w:val="37"/>
        <w:spacing w:line="580" w:lineRule="exact"/>
        <w:ind w:firstLine="560"/>
        <w:rPr>
          <w:kern w:val="1"/>
          <w:sz w:val="28"/>
          <w:szCs w:val="28"/>
        </w:rPr>
      </w:pPr>
      <w:r>
        <w:rPr>
          <w:rFonts w:hint="eastAsia"/>
          <w:kern w:val="1"/>
          <w:sz w:val="28"/>
          <w:szCs w:val="28"/>
        </w:rPr>
        <w:t xml:space="preserve">3）城市发展方向：以沿黄围街两侧发展和旧城改造为主。东西向受山体沟壑影响，不宜作为城市发展的主导方向。因此，规划期内城市用地拓展主要向南北发展。 </w:t>
      </w:r>
    </w:p>
    <w:p w14:paraId="243C9DCF">
      <w:pPr>
        <w:pStyle w:val="37"/>
        <w:spacing w:line="580" w:lineRule="exact"/>
        <w:ind w:firstLine="560"/>
        <w:rPr>
          <w:kern w:val="1"/>
          <w:sz w:val="28"/>
          <w:szCs w:val="28"/>
        </w:rPr>
      </w:pPr>
      <w:r>
        <w:rPr>
          <w:rFonts w:hint="eastAsia"/>
          <w:kern w:val="1"/>
          <w:sz w:val="28"/>
          <w:szCs w:val="28"/>
        </w:rPr>
        <w:t>4）规划结构：</w:t>
      </w:r>
    </w:p>
    <w:p w14:paraId="41204754">
      <w:pPr>
        <w:pStyle w:val="37"/>
        <w:spacing w:line="580" w:lineRule="exact"/>
        <w:ind w:firstLine="560"/>
        <w:rPr>
          <w:kern w:val="1"/>
          <w:sz w:val="28"/>
          <w:szCs w:val="28"/>
        </w:rPr>
      </w:pPr>
      <w:r>
        <w:rPr>
          <w:rFonts w:hint="eastAsia"/>
          <w:kern w:val="1"/>
          <w:sz w:val="28"/>
          <w:szCs w:val="28"/>
        </w:rPr>
        <w:t>规划确定城市整体空间结构为：“一心、两轴、四片区”。</w:t>
      </w:r>
    </w:p>
    <w:p w14:paraId="65B2C377">
      <w:pPr>
        <w:pStyle w:val="37"/>
        <w:spacing w:line="580" w:lineRule="exact"/>
        <w:ind w:firstLine="560"/>
        <w:rPr>
          <w:kern w:val="1"/>
          <w:sz w:val="28"/>
          <w:szCs w:val="28"/>
        </w:rPr>
      </w:pPr>
      <w:r>
        <w:rPr>
          <w:rFonts w:hint="eastAsia"/>
          <w:kern w:val="1"/>
          <w:sz w:val="28"/>
          <w:szCs w:val="28"/>
        </w:rPr>
        <w:t>“一心”指商业行政服务中心。</w:t>
      </w:r>
    </w:p>
    <w:p w14:paraId="79AD55D3">
      <w:pPr>
        <w:pStyle w:val="37"/>
        <w:spacing w:line="580" w:lineRule="exact"/>
        <w:ind w:firstLine="560"/>
        <w:rPr>
          <w:kern w:val="1"/>
          <w:sz w:val="28"/>
          <w:szCs w:val="28"/>
        </w:rPr>
      </w:pPr>
      <w:r>
        <w:rPr>
          <w:rFonts w:hint="eastAsia"/>
          <w:kern w:val="1"/>
          <w:sz w:val="28"/>
          <w:szCs w:val="28"/>
        </w:rPr>
        <w:t>“两轴”指沿古陵路-望洛路形成的城市功能拓展轴和沿棋山路形成的旅游功能发展轴。</w:t>
      </w:r>
    </w:p>
    <w:p w14:paraId="5894E2FA">
      <w:pPr>
        <w:pStyle w:val="37"/>
        <w:spacing w:line="580" w:lineRule="exact"/>
        <w:ind w:firstLine="560"/>
        <w:rPr>
          <w:kern w:val="1"/>
          <w:sz w:val="28"/>
          <w:szCs w:val="28"/>
        </w:rPr>
      </w:pPr>
      <w:r>
        <w:rPr>
          <w:rFonts w:hint="eastAsia"/>
          <w:kern w:val="1"/>
          <w:sz w:val="28"/>
          <w:szCs w:val="28"/>
        </w:rPr>
        <w:t>“四片区”指由城市主干路网和自然生态界线分割出的城市四大功能片区。即教育科研片区、老城综合片区、旅游服务片区、工业仓储片区。</w:t>
      </w:r>
    </w:p>
    <w:p w14:paraId="6BAFE80F">
      <w:pPr>
        <w:pStyle w:val="37"/>
        <w:spacing w:line="580" w:lineRule="exact"/>
        <w:ind w:firstLine="560"/>
        <w:rPr>
          <w:kern w:val="1"/>
          <w:sz w:val="28"/>
          <w:szCs w:val="28"/>
        </w:rPr>
      </w:pPr>
      <w:r>
        <w:rPr>
          <w:rFonts w:hint="eastAsia"/>
          <w:kern w:val="1"/>
          <w:sz w:val="28"/>
          <w:szCs w:val="28"/>
        </w:rPr>
        <w:t>2、总体认识</w:t>
      </w:r>
    </w:p>
    <w:p w14:paraId="4F380718">
      <w:pPr>
        <w:pStyle w:val="37"/>
        <w:spacing w:line="580" w:lineRule="exact"/>
        <w:ind w:firstLine="560"/>
        <w:rPr>
          <w:kern w:val="1"/>
          <w:sz w:val="28"/>
          <w:szCs w:val="28"/>
        </w:rPr>
      </w:pPr>
      <w:r>
        <w:rPr>
          <w:rFonts w:hint="eastAsia"/>
          <w:kern w:val="1"/>
          <w:sz w:val="28"/>
          <w:szCs w:val="28"/>
        </w:rPr>
        <w:t>总体规划是陵川县城市发展和建设的重要依据。在构建生态和绿地系统等方面起到了积极的作用，并确定了城市发展的基本格局；为满足旅游城市的功能，规划合理增加商业服务业用地和绿地广场用地的比例；同时，为保护城市生态环境，适当降低工业用地比例。本规划有区域性指导意义。</w:t>
      </w:r>
    </w:p>
    <w:p w14:paraId="49D11C40">
      <w:pPr>
        <w:pStyle w:val="37"/>
        <w:spacing w:line="580" w:lineRule="exact"/>
        <w:ind w:firstLine="560"/>
        <w:rPr>
          <w:kern w:val="1"/>
          <w:sz w:val="28"/>
          <w:szCs w:val="28"/>
        </w:rPr>
      </w:pPr>
      <w:r>
        <w:rPr>
          <w:rFonts w:hint="eastAsia"/>
          <w:kern w:val="1"/>
          <w:sz w:val="28"/>
          <w:szCs w:val="28"/>
        </w:rPr>
        <w:t>该规划确定“三横两纵”的路网结构，考虑城市空间布局与片区功能定位，道路网络搭建与用地拓展相结合，在解决陵川丘陵地形交通体系构建方面做出了努力。该规划的道路等级划分相对合理，但也存在中心城区南北联系不畅，断头路多，路网结构不够完善等问题。因此，道路线形需深入研究并再次确定。总体规划对城市空间结构、道路系统等提出了指导性规划，需要在下一层次规划中进行具体分析，在空间实施上深化规划内容。</w:t>
      </w:r>
    </w:p>
    <w:p w14:paraId="53AB7172">
      <w:pPr>
        <w:pStyle w:val="47"/>
        <w:spacing w:line="580" w:lineRule="exact"/>
      </w:pPr>
      <w:r>
        <w:rPr>
          <w:rFonts w:hint="eastAsia"/>
        </w:rPr>
        <w:t>(三)</w:t>
      </w:r>
      <w:r>
        <w:rPr>
          <w:rFonts w:hint="eastAsia"/>
          <w:kern w:val="1"/>
        </w:rPr>
        <w:t>《</w:t>
      </w:r>
      <w:r>
        <w:rPr>
          <w:rFonts w:hint="eastAsia"/>
        </w:rPr>
        <w:t>陵川县县城绿地系统规划》（2017-2030）</w:t>
      </w:r>
    </w:p>
    <w:p w14:paraId="217E9331">
      <w:pPr>
        <w:pStyle w:val="37"/>
        <w:spacing w:line="580" w:lineRule="exact"/>
        <w:ind w:firstLine="560"/>
        <w:rPr>
          <w:kern w:val="1"/>
          <w:sz w:val="28"/>
          <w:szCs w:val="28"/>
        </w:rPr>
      </w:pPr>
      <w:r>
        <w:rPr>
          <w:rFonts w:hint="eastAsia"/>
          <w:kern w:val="1"/>
          <w:sz w:val="28"/>
          <w:szCs w:val="28"/>
        </w:rPr>
        <w:t>1、规划主要内容</w:t>
      </w:r>
    </w:p>
    <w:p w14:paraId="4462D555">
      <w:pPr>
        <w:pStyle w:val="37"/>
        <w:spacing w:line="580" w:lineRule="exact"/>
        <w:ind w:firstLine="560"/>
        <w:rPr>
          <w:kern w:val="1"/>
          <w:sz w:val="28"/>
          <w:szCs w:val="28"/>
        </w:rPr>
      </w:pPr>
      <w:r>
        <w:rPr>
          <w:rFonts w:hint="eastAsia"/>
          <w:kern w:val="1"/>
          <w:sz w:val="28"/>
          <w:szCs w:val="28"/>
        </w:rPr>
        <w:t>1）规划目标</w:t>
      </w:r>
    </w:p>
    <w:p w14:paraId="7FC03D0F">
      <w:pPr>
        <w:pStyle w:val="37"/>
        <w:spacing w:line="580" w:lineRule="exact"/>
        <w:ind w:firstLine="560"/>
        <w:rPr>
          <w:kern w:val="1"/>
          <w:sz w:val="28"/>
          <w:szCs w:val="28"/>
        </w:rPr>
      </w:pPr>
      <w:r>
        <w:rPr>
          <w:rFonts w:hint="eastAsia"/>
          <w:kern w:val="1"/>
          <w:sz w:val="28"/>
          <w:szCs w:val="28"/>
        </w:rPr>
        <w:t>严格落实城市外围生态控制区域，实现城市内部组团间、城市内部与外部自然环境的沟通联系，构筑山体、水系、森林、农田、城市等多位一体的区域生态环境，建设美丽的“山灵水秀园林城”，实现“绿色古都、生态陵川”的规划目标。</w:t>
      </w:r>
    </w:p>
    <w:p w14:paraId="17BABEFD">
      <w:pPr>
        <w:pStyle w:val="37"/>
        <w:spacing w:line="580" w:lineRule="exact"/>
        <w:ind w:firstLine="560"/>
        <w:rPr>
          <w:kern w:val="1"/>
          <w:sz w:val="28"/>
          <w:szCs w:val="28"/>
        </w:rPr>
      </w:pPr>
      <w:r>
        <w:rPr>
          <w:rFonts w:hint="eastAsia"/>
          <w:kern w:val="1"/>
          <w:sz w:val="28"/>
          <w:szCs w:val="28"/>
        </w:rPr>
        <w:t>2）中心城区绿地总体布局结构</w:t>
      </w:r>
    </w:p>
    <w:p w14:paraId="3FBE9D40">
      <w:pPr>
        <w:pStyle w:val="37"/>
        <w:spacing w:line="580" w:lineRule="exact"/>
        <w:ind w:firstLine="560"/>
        <w:rPr>
          <w:kern w:val="1"/>
          <w:sz w:val="28"/>
          <w:szCs w:val="28"/>
        </w:rPr>
      </w:pPr>
      <w:r>
        <w:rPr>
          <w:rFonts w:hint="eastAsia"/>
          <w:kern w:val="1"/>
          <w:sz w:val="28"/>
          <w:szCs w:val="28"/>
        </w:rPr>
        <w:t xml:space="preserve">“一环融绿、一链兴城、六楔渗透、四区联动、多带串联、多点均布”。 </w:t>
      </w:r>
    </w:p>
    <w:p w14:paraId="50A9DCCF">
      <w:pPr>
        <w:pStyle w:val="37"/>
        <w:spacing w:line="580" w:lineRule="exact"/>
        <w:ind w:firstLine="560"/>
        <w:rPr>
          <w:kern w:val="1"/>
          <w:sz w:val="28"/>
          <w:szCs w:val="28"/>
        </w:rPr>
      </w:pPr>
      <w:r>
        <w:rPr>
          <w:rFonts w:hint="eastAsia"/>
          <w:kern w:val="1"/>
          <w:sz w:val="28"/>
          <w:szCs w:val="28"/>
        </w:rPr>
        <w:t>3）规划指标</w:t>
      </w:r>
    </w:p>
    <w:p w14:paraId="6EAF8F00">
      <w:pPr>
        <w:pStyle w:val="37"/>
        <w:spacing w:line="580" w:lineRule="exact"/>
        <w:ind w:firstLine="560"/>
        <w:rPr>
          <w:sz w:val="28"/>
          <w:szCs w:val="28"/>
        </w:rPr>
      </w:pPr>
      <w:r>
        <w:rPr>
          <w:rFonts w:hint="eastAsia"/>
          <w:sz w:val="28"/>
          <w:szCs w:val="28"/>
        </w:rPr>
        <w:t>陵川县中心城区到2030年规划建设用地面积为10.82km</w:t>
      </w:r>
      <w:r>
        <w:rPr>
          <w:rFonts w:hint="eastAsia"/>
          <w:sz w:val="28"/>
          <w:szCs w:val="28"/>
          <w:vertAlign w:val="superscript"/>
        </w:rPr>
        <w:t>2</w:t>
      </w:r>
      <w:r>
        <w:rPr>
          <w:rFonts w:hint="eastAsia"/>
          <w:sz w:val="28"/>
          <w:szCs w:val="28"/>
        </w:rPr>
        <w:t>，建设用地内绿地总面积达453.98公顷，城市建设用地绿地率41.96%，其中公园绿地面积达174.84公顷，人均公园绿地面</w:t>
      </w:r>
      <w:r>
        <w:rPr>
          <w:sz w:val="28"/>
          <w:szCs w:val="28"/>
        </w:rPr>
        <w:t>积</w:t>
      </w:r>
      <w:r>
        <w:rPr>
          <w:rFonts w:hint="eastAsia"/>
          <w:sz w:val="28"/>
          <w:szCs w:val="28"/>
        </w:rPr>
        <w:t>17.66</w:t>
      </w:r>
      <w:r>
        <w:rPr>
          <w:sz w:val="28"/>
          <w:szCs w:val="28"/>
        </w:rPr>
        <w:t>m²/</w:t>
      </w:r>
      <w:r>
        <w:rPr>
          <w:rFonts w:hint="eastAsia"/>
          <w:sz w:val="28"/>
          <w:szCs w:val="28"/>
        </w:rPr>
        <w:t>人。</w:t>
      </w:r>
    </w:p>
    <w:p w14:paraId="5DFE334D">
      <w:pPr>
        <w:pStyle w:val="37"/>
        <w:spacing w:line="580" w:lineRule="exact"/>
        <w:ind w:firstLine="560"/>
        <w:rPr>
          <w:sz w:val="28"/>
          <w:szCs w:val="28"/>
        </w:rPr>
      </w:pPr>
      <w:r>
        <w:rPr>
          <w:rFonts w:hint="eastAsia"/>
          <w:sz w:val="28"/>
          <w:szCs w:val="28"/>
        </w:rPr>
        <w:t>2、总体认识</w:t>
      </w:r>
    </w:p>
    <w:p w14:paraId="5E31C945">
      <w:pPr>
        <w:pStyle w:val="39"/>
        <w:spacing w:line="580" w:lineRule="exact"/>
        <w:rPr>
          <w:rFonts w:ascii="宋体" w:hAnsi="宋体" w:eastAsia="宋体"/>
        </w:rPr>
      </w:pPr>
      <w:r>
        <w:rPr>
          <w:rFonts w:hint="eastAsia" w:ascii="宋体" w:hAnsi="宋体" w:eastAsia="宋体"/>
        </w:rPr>
        <w:t>绿地系统规划是在总体规划宏观指导下有关城市景观塑造的第一个专项规划，分别对市域和中心城区进行分区，并提出了具体要求；同时，对各类绿地进行具体建设指导。该规划的编制，在生态方面为陵川县的发展奠定了良好的基础。规划对各类绿地提出要求，对城市绿地在整个城市景观系统中的作用及其与其他景观要素之间的关系需要在下一层次规划中进行深入的研究和落实。</w:t>
      </w:r>
    </w:p>
    <w:p w14:paraId="230FF340">
      <w:pPr>
        <w:pStyle w:val="38"/>
        <w:numPr>
          <w:ilvl w:val="0"/>
          <w:numId w:val="2"/>
        </w:numPr>
        <w:spacing w:before="0" w:beforeLines="0" w:after="0" w:afterLines="0" w:line="580" w:lineRule="exact"/>
        <w:ind w:left="0" w:firstLine="0"/>
        <w:rPr>
          <w:rFonts w:ascii="黑体" w:hAnsi="黑体"/>
          <w:b/>
        </w:rPr>
      </w:pPr>
      <w:bookmarkStart w:id="10" w:name="_Toc528317009"/>
      <w:r>
        <w:rPr>
          <w:rFonts w:hint="eastAsia" w:ascii="黑体" w:hAnsi="黑体"/>
          <w:b/>
        </w:rPr>
        <w:t>现状条件</w:t>
      </w:r>
      <w:bookmarkEnd w:id="10"/>
    </w:p>
    <w:p w14:paraId="71CC1224">
      <w:pPr>
        <w:pStyle w:val="47"/>
        <w:spacing w:line="580" w:lineRule="exact"/>
      </w:pPr>
      <w:r>
        <w:rPr>
          <w:rFonts w:hint="eastAsia"/>
        </w:rPr>
        <w:t>(一)自然条件</w:t>
      </w:r>
    </w:p>
    <w:p w14:paraId="17621DD6">
      <w:pPr>
        <w:pStyle w:val="39"/>
        <w:spacing w:line="580" w:lineRule="exact"/>
        <w:rPr>
          <w:rFonts w:ascii="宋体" w:hAnsi="宋体" w:eastAsia="宋体"/>
        </w:rPr>
      </w:pPr>
      <w:r>
        <w:rPr>
          <w:rFonts w:hint="eastAsia" w:ascii="宋体" w:hAnsi="宋体" w:eastAsia="宋体"/>
        </w:rPr>
        <w:t>陵川县县城及周边范围地貌属低山丘陵地貌，地形起伏变化较大，并呈西北高、东南低之势，坡度0.2%—20%，最大高程为1410，最低高程为1230，最大高差约30米。现状建成区中心地带海拔高度为1311米左右，四周冈峦环抱，中间地势低平，由西向东倾斜，四周向外通达低平。</w:t>
      </w:r>
    </w:p>
    <w:p w14:paraId="2955B226">
      <w:pPr>
        <w:pStyle w:val="39"/>
        <w:spacing w:line="580" w:lineRule="exact"/>
        <w:rPr>
          <w:rFonts w:ascii="宋体" w:hAnsi="宋体" w:eastAsia="宋体"/>
        </w:rPr>
      </w:pPr>
      <w:r>
        <w:rPr>
          <w:rFonts w:hint="eastAsia" w:ascii="宋体" w:hAnsi="宋体" w:eastAsia="宋体"/>
        </w:rPr>
        <w:t>年平均气温为8.0℃，最热月为七月，平均气温为20.6℃，最冷月为一月，平均气温为-6.1℃，年均差为26.7℃。极端最高气温为34.4℃，极端最低气温为-21.7℃。年平均相对湿度为63%。年平均降水量为637.0mm,最大日降水量为114.5mm，≥0.1mm的年平均降水日数为97.3天，八、七两个月降水量最大，九、六两个月降水量次之。年平均蒸发量为1607.0mm。年平均霜日数为63.7天，年平均降雪日数为35.3天，年平均积雪日数为44.5天，最大积雪深度为25cm。年平均地面温度为10.3℃，极端最高地面温度为69.2℃，极端最低地面温度为-33.1℃，最大冻土深度为71cm。年平均日照时数为2604.4小时。</w:t>
      </w:r>
    </w:p>
    <w:p w14:paraId="385C29BA">
      <w:pPr>
        <w:pStyle w:val="39"/>
        <w:spacing w:line="580" w:lineRule="exact"/>
        <w:rPr>
          <w:rFonts w:ascii="宋体" w:hAnsi="宋体" w:eastAsia="宋体"/>
        </w:rPr>
      </w:pPr>
      <w:r>
        <w:rPr>
          <w:rFonts w:hint="eastAsia" w:ascii="宋体" w:hAnsi="宋体" w:eastAsia="宋体"/>
        </w:rPr>
        <w:t>县城地处低山丘陵区，地形起伏变化较大，局部有沟壑、陡坡发育。建成区内有个别季节性小型河流，均属于东大河支流，主要有红河与羊河。</w:t>
      </w:r>
    </w:p>
    <w:p w14:paraId="650E0D47">
      <w:pPr>
        <w:pStyle w:val="47"/>
        <w:spacing w:line="580" w:lineRule="exact"/>
      </w:pPr>
      <w:r>
        <w:rPr>
          <w:rFonts w:hint="eastAsia"/>
        </w:rPr>
        <w:t>(二)土地利用</w:t>
      </w:r>
    </w:p>
    <w:p w14:paraId="2C12DFD6">
      <w:pPr>
        <w:pStyle w:val="39"/>
        <w:spacing w:line="580" w:lineRule="exact"/>
        <w:rPr>
          <w:rFonts w:ascii="宋体" w:hAnsi="宋体" w:eastAsia="宋体"/>
        </w:rPr>
      </w:pPr>
      <w:r>
        <w:rPr>
          <w:rFonts w:hint="eastAsia" w:ascii="宋体" w:hAnsi="宋体" w:eastAsia="宋体"/>
        </w:rPr>
        <w:t>陵川县城由城北社区、城南社区、城东社区、城西社区、城内社区、仕林苑社区和仕图苑社区共同构成。县城中部，国保崇安寺周边是中心城区集行政办公、文化娱乐、商业金融等功能于一体的主要公共服务中心，居住建筑以低层居住社区为主，依地形而建。近年，县城建设发展迅速，南部新区建设良好。总体来看，陵川县城南部发展速度优于东、北部。</w:t>
      </w:r>
    </w:p>
    <w:p w14:paraId="35AD3CBF">
      <w:pPr>
        <w:pStyle w:val="39"/>
        <w:spacing w:line="580" w:lineRule="exact"/>
        <w:rPr>
          <w:rFonts w:ascii="宋体" w:hAnsi="宋体" w:eastAsia="宋体"/>
        </w:rPr>
      </w:pPr>
      <w:r>
        <w:rPr>
          <w:rFonts w:hint="eastAsia" w:ascii="宋体" w:hAnsi="宋体" w:eastAsia="宋体"/>
        </w:rPr>
        <w:t>从县城的发展来看，中部核心区以圈层式向外扩张，南北向的古陵路和东西向的梅园东街是城市拓展的主要方向。特别是县城南部发展需求旺盛，随着古陵南路的扩通和黄围西街的建设，沿路两侧建成较多多高层居住小区，各种服务设施开始逐步落地；高陵高速建成通车，将形成带动城市向南发展的强大动力。</w:t>
      </w:r>
    </w:p>
    <w:p w14:paraId="3942ABCC">
      <w:pPr>
        <w:pStyle w:val="47"/>
        <w:spacing w:line="580" w:lineRule="exact"/>
      </w:pPr>
      <w:r>
        <w:rPr>
          <w:rFonts w:hint="eastAsia"/>
        </w:rPr>
        <w:t>(三)建筑肌理</w:t>
      </w:r>
    </w:p>
    <w:p w14:paraId="2928AE83">
      <w:pPr>
        <w:pStyle w:val="39"/>
        <w:spacing w:line="580" w:lineRule="exact"/>
        <w:rPr>
          <w:rFonts w:ascii="宋体" w:hAnsi="宋体" w:eastAsia="宋体"/>
        </w:rPr>
      </w:pPr>
      <w:r>
        <w:rPr>
          <w:rFonts w:hint="eastAsia" w:ascii="宋体" w:hAnsi="宋体" w:eastAsia="宋体"/>
        </w:rPr>
        <w:t>陵川县中心城区的城市肌理呈现出明显的点轴结构，并具有明显的向心性。其中，以崇安寺为中心向外扩展，以古陵路和梅园街为轴十字形发展。</w:t>
      </w:r>
    </w:p>
    <w:p w14:paraId="6D40E59E">
      <w:pPr>
        <w:pStyle w:val="39"/>
        <w:spacing w:line="580" w:lineRule="exact"/>
        <w:rPr>
          <w:rFonts w:ascii="宋体" w:hAnsi="宋体" w:eastAsia="宋体"/>
        </w:rPr>
      </w:pPr>
      <w:r>
        <w:rPr>
          <w:rFonts w:hint="eastAsia" w:ascii="宋体" w:hAnsi="宋体" w:eastAsia="宋体"/>
        </w:rPr>
        <w:t>现状建成区居住建筑形式中低层建筑和独院平房占很大比重。这其中又分为两类，一类为城镇居民（非农业人口）的住宅，一类为农业人口的农村聚落形态的住宅。现状建成区内居住建筑年代远近参差，建筑质量好坏不均。旧城传统民居中，有个别的居住建筑非常具有保护价值，如状元第、古陵路103号民宅等。</w:t>
      </w:r>
    </w:p>
    <w:p w14:paraId="2A94D6CA">
      <w:pPr>
        <w:pStyle w:val="39"/>
        <w:spacing w:line="580" w:lineRule="exact"/>
        <w:rPr>
          <w:rFonts w:ascii="宋体" w:hAnsi="宋体" w:eastAsia="宋体"/>
        </w:rPr>
      </w:pPr>
      <w:r>
        <w:rPr>
          <w:rFonts w:hint="eastAsia" w:ascii="宋体" w:hAnsi="宋体" w:eastAsia="宋体"/>
        </w:rPr>
        <w:t>近年来新区开发、旧城改造、城中村改造全面推进，完成了胜景苑、和枫苑、西溪花园、棋山花园等住宅小区，改善了居民的居住条件。但是其总量与城市需更新量存在较大差距。</w:t>
      </w:r>
    </w:p>
    <w:p w14:paraId="0FCDAAC0">
      <w:pPr>
        <w:pStyle w:val="47"/>
        <w:spacing w:line="580" w:lineRule="exact"/>
      </w:pPr>
      <w:r>
        <w:rPr>
          <w:rFonts w:hint="eastAsia"/>
        </w:rPr>
        <w:t>(四)交通设施</w:t>
      </w:r>
    </w:p>
    <w:p w14:paraId="2F2DCC93">
      <w:pPr>
        <w:pStyle w:val="39"/>
        <w:spacing w:line="580" w:lineRule="exact"/>
        <w:rPr>
          <w:rFonts w:ascii="宋体" w:hAnsi="宋体" w:eastAsia="宋体"/>
        </w:rPr>
      </w:pPr>
      <w:r>
        <w:rPr>
          <w:rFonts w:hint="eastAsia" w:ascii="宋体" w:hAnsi="宋体" w:eastAsia="宋体"/>
        </w:rPr>
        <w:t>现状建成区路网骨架为“十字”型，旧城内部街巷纵横。其中“十字”为东西向的梅园街-开云街、北部的望洛路和南部的古陵路。中部老城区与城北部道路陈旧，交通不畅问题严重；南部新城路网较完善，路面较宽，但南部新城与城北联系严重不畅。由于中部的南岭地势较高，建成区中南部东西向无道路联系，也造成建成区中部交通纾解困难，加重了道路拥堵程度。</w:t>
      </w:r>
    </w:p>
    <w:p w14:paraId="0C06EEE6">
      <w:pPr>
        <w:pStyle w:val="39"/>
        <w:spacing w:line="580" w:lineRule="exact"/>
        <w:rPr>
          <w:rFonts w:ascii="宋体" w:hAnsi="宋体" w:eastAsia="宋体"/>
        </w:rPr>
      </w:pPr>
      <w:r>
        <w:rPr>
          <w:rFonts w:hint="eastAsia" w:ascii="宋体" w:hAnsi="宋体" w:eastAsia="宋体"/>
        </w:rPr>
        <w:t>随着陵川县县城的发展，先后拓宽、改造、新建了一批街巷道路。街道路面大部分采用沥青铺装，少部分水泥路面。由于陵川县城属丘陵地貌，地形起伏较大，城市道路建设与平原城市容易形成完善的道路网格局不同，目前县城尚无一条贯穿南北的城市道路。城市中部崇安寺、县政府周边公共设施密布，但区内道路未形成系统，路面窄、南北道路联系不畅、停车设施少，导致该区域道路拥堵严重。</w:t>
      </w:r>
    </w:p>
    <w:p w14:paraId="0415E1A7">
      <w:pPr>
        <w:pStyle w:val="39"/>
        <w:spacing w:line="580" w:lineRule="exact"/>
        <w:rPr>
          <w:rFonts w:ascii="宋体" w:hAnsi="宋体" w:eastAsia="宋体"/>
        </w:rPr>
      </w:pPr>
      <w:r>
        <w:rPr>
          <w:rFonts w:hint="eastAsia" w:ascii="宋体" w:hAnsi="宋体" w:eastAsia="宋体"/>
        </w:rPr>
        <w:t>同时县城缺乏统一、有序的建设管理，造成陵川县城现状道路网很不完善，道路、街巷交织错落，断头路、丁字路多。</w:t>
      </w:r>
    </w:p>
    <w:p w14:paraId="6AA49B34">
      <w:pPr>
        <w:pStyle w:val="47"/>
        <w:spacing w:line="580" w:lineRule="exact"/>
      </w:pPr>
      <w:r>
        <w:rPr>
          <w:rFonts w:hint="eastAsia"/>
        </w:rPr>
        <w:t>(五)市政设施</w:t>
      </w:r>
    </w:p>
    <w:p w14:paraId="1A354D93">
      <w:pPr>
        <w:pStyle w:val="39"/>
        <w:spacing w:line="580" w:lineRule="exact"/>
        <w:rPr>
          <w:rFonts w:ascii="宋体" w:hAnsi="宋体" w:eastAsia="宋体"/>
        </w:rPr>
      </w:pPr>
      <w:r>
        <w:rPr>
          <w:rFonts w:hint="eastAsia" w:ascii="宋体" w:hAnsi="宋体" w:eastAsia="宋体"/>
        </w:rPr>
        <w:t>县区供水由自来水公司承担。自来水公司现有一个水厂，位于城东社区，占地约26亩。</w:t>
      </w:r>
    </w:p>
    <w:p w14:paraId="72B99FB2">
      <w:pPr>
        <w:pStyle w:val="39"/>
        <w:spacing w:line="580" w:lineRule="exact"/>
        <w:rPr>
          <w:rFonts w:ascii="宋体" w:hAnsi="宋体" w:eastAsia="宋体"/>
        </w:rPr>
      </w:pPr>
      <w:r>
        <w:rPr>
          <w:rFonts w:hint="eastAsia" w:ascii="宋体" w:hAnsi="宋体" w:eastAsia="宋体"/>
        </w:rPr>
        <w:t>陵川县城自然地形较为复杂，西北高、东南低。河道呈扇形向羊河、红河汇集。城市排水体制为两种排水体制并存，旧城区为雨污合流制排水系统，旧城区以外的新建城区采用雨污分流制排水系统。老城排水管网混乱；部分城中村尚未形成基本的排水管网；新城区基本实现了雨、污分流。现状污水厂位于县城东北，地势较低的区域。</w:t>
      </w:r>
    </w:p>
    <w:p w14:paraId="6F962398">
      <w:pPr>
        <w:pStyle w:val="39"/>
        <w:spacing w:line="580" w:lineRule="exact"/>
        <w:rPr>
          <w:rFonts w:ascii="宋体" w:hAnsi="宋体" w:eastAsia="宋体"/>
        </w:rPr>
      </w:pPr>
      <w:r>
        <w:rPr>
          <w:rFonts w:hint="eastAsia" w:ascii="宋体" w:hAnsi="宋体" w:eastAsia="宋体"/>
        </w:rPr>
        <w:t>陵川县城集中供气由陵川县惠民煤层气利用有限公司负责经营，煤层气为陵川县城的气源，由汽车拉至陵川县城煤层气减压站，再进行加压到中压管网，供给城市居民使用。</w:t>
      </w:r>
    </w:p>
    <w:p w14:paraId="08B19F34">
      <w:pPr>
        <w:pStyle w:val="39"/>
        <w:spacing w:line="580" w:lineRule="exact"/>
        <w:rPr>
          <w:rFonts w:ascii="宋体" w:hAnsi="宋体" w:eastAsia="宋体"/>
        </w:rPr>
      </w:pPr>
      <w:r>
        <w:rPr>
          <w:rFonts w:hint="eastAsia" w:ascii="宋体" w:hAnsi="宋体" w:eastAsia="宋体"/>
        </w:rPr>
        <w:t>县城供热热源为建成区南部的热源厂，由陵川县德日升热源有限公司建设并管理，供热面积243万平方米。</w:t>
      </w:r>
    </w:p>
    <w:p w14:paraId="2F5F8DA0">
      <w:pPr>
        <w:pStyle w:val="39"/>
        <w:spacing w:line="580" w:lineRule="exact"/>
        <w:rPr>
          <w:rFonts w:ascii="宋体" w:hAnsi="宋体" w:eastAsia="宋体"/>
        </w:rPr>
      </w:pPr>
      <w:r>
        <w:rPr>
          <w:rFonts w:hint="eastAsia" w:ascii="宋体" w:hAnsi="宋体" w:eastAsia="宋体"/>
        </w:rPr>
        <w:t>陵川建成区内现有110kv陵川变电站一座，位于黄围街中段路南，占地约1.2公顷。城区电网供电区域以城东片、城南片、城西片、城北片四个供电区域。城东片、城南片、城西片电源由110KV陵川变电站提供。</w:t>
      </w:r>
    </w:p>
    <w:p w14:paraId="099485D1">
      <w:pPr>
        <w:pStyle w:val="39"/>
        <w:spacing w:line="580" w:lineRule="exact"/>
        <w:rPr>
          <w:rFonts w:ascii="宋体" w:hAnsi="宋体" w:eastAsia="宋体"/>
        </w:rPr>
      </w:pPr>
      <w:r>
        <w:rPr>
          <w:rFonts w:hint="eastAsia" w:ascii="宋体" w:hAnsi="宋体" w:eastAsia="宋体"/>
        </w:rPr>
        <w:t>陵川县城区的电信由中国移动、中国联通、中国电信三家公司提供，通信能力已全面覆盖陵川县城区。陵川县邮政局共设有对外营业网点18个，其中：县城6个。电信及邮政服务网点集中于建成区中部，多与沿街商业建筑混合。</w:t>
      </w:r>
    </w:p>
    <w:p w14:paraId="1E721EBC">
      <w:pPr>
        <w:pStyle w:val="39"/>
        <w:spacing w:line="580" w:lineRule="exact"/>
        <w:rPr>
          <w:rFonts w:ascii="宋体" w:hAnsi="宋体" w:eastAsia="宋体"/>
        </w:rPr>
      </w:pPr>
      <w:r>
        <w:rPr>
          <w:rFonts w:hint="eastAsia" w:ascii="宋体" w:hAnsi="宋体" w:eastAsia="宋体"/>
        </w:rPr>
        <w:t>陵川县县区现有陵川有线电视台一家，位于县政府南侧中心公园以南，陵川县城区有线电视用户数量达8500多户，已实现陵川县城区全覆盖，主干线以光缆为主。</w:t>
      </w:r>
    </w:p>
    <w:p w14:paraId="7E3AB1E5">
      <w:pPr>
        <w:pStyle w:val="38"/>
        <w:numPr>
          <w:ilvl w:val="0"/>
          <w:numId w:val="2"/>
        </w:numPr>
        <w:spacing w:before="0" w:beforeLines="0" w:after="0" w:afterLines="0" w:line="580" w:lineRule="exact"/>
        <w:ind w:left="0" w:firstLine="0"/>
        <w:rPr>
          <w:rFonts w:ascii="黑体" w:hAnsi="黑体"/>
          <w:b/>
        </w:rPr>
      </w:pPr>
      <w:bookmarkStart w:id="11" w:name="_Toc528317010"/>
      <w:r>
        <w:rPr>
          <w:rFonts w:hint="eastAsia" w:ascii="黑体" w:hAnsi="黑体"/>
          <w:b/>
        </w:rPr>
        <w:t>拟建项目情况</w:t>
      </w:r>
      <w:bookmarkEnd w:id="11"/>
    </w:p>
    <w:p w14:paraId="7782BE22">
      <w:pPr>
        <w:pStyle w:val="39"/>
        <w:spacing w:line="580" w:lineRule="exact"/>
        <w:rPr>
          <w:rFonts w:ascii="宋体" w:hAnsi="宋体" w:eastAsia="宋体"/>
        </w:rPr>
      </w:pPr>
      <w:r>
        <w:rPr>
          <w:rFonts w:hint="eastAsia" w:ascii="宋体" w:hAnsi="宋体" w:eastAsia="宋体"/>
        </w:rPr>
        <w:t>近年来，陵川县以城乡环境整体提升为目标，以“五城联创”为抓手，县城建设有序推进，“一路两街”开工建设，城市中心区多个项目已实施或正在实施，主要以住宅小区建设和公共服务设施建设两大类为主。其中，改善型住宅项目居多，主要集中在县城中南部；公共服务设施建设包括中小学的改扩建、文化活动中心、商业设施、广场等建设项目，分部于建成区的中北部；另有政务服务中心、武装部、游客接待中心、公安局等行政及服务单位相继入驻南部新城。</w:t>
      </w:r>
    </w:p>
    <w:p w14:paraId="0E8553A3">
      <w:pPr>
        <w:pStyle w:val="47"/>
        <w:spacing w:line="580" w:lineRule="exact"/>
      </w:pPr>
      <w:r>
        <w:rPr>
          <w:rFonts w:hint="eastAsia"/>
        </w:rPr>
        <w:t>(一)已建项目</w:t>
      </w:r>
    </w:p>
    <w:p w14:paraId="65DDBC09">
      <w:pPr>
        <w:pStyle w:val="39"/>
        <w:spacing w:line="580" w:lineRule="exact"/>
        <w:rPr>
          <w:rFonts w:ascii="宋体" w:hAnsi="宋体" w:eastAsia="宋体"/>
        </w:rPr>
      </w:pPr>
      <w:r>
        <w:rPr>
          <w:rFonts w:hint="eastAsia" w:ascii="宋体" w:hAnsi="宋体" w:eastAsia="宋体"/>
        </w:rPr>
        <w:t>1、棋山南路道路工程。该项目北起棋山花园南区，南至移民小区西侧，道路全长1228米，规划红线分别为30米和42米，总投资11855万元。正在进行土石方和桥梁施工。</w:t>
      </w:r>
    </w:p>
    <w:p w14:paraId="56EED2A9">
      <w:pPr>
        <w:pStyle w:val="39"/>
        <w:spacing w:line="580" w:lineRule="exact"/>
        <w:rPr>
          <w:rFonts w:ascii="宋体" w:hAnsi="宋体" w:eastAsia="宋体"/>
        </w:rPr>
      </w:pPr>
      <w:r>
        <w:rPr>
          <w:rFonts w:hint="eastAsia" w:ascii="宋体" w:hAnsi="宋体" w:eastAsia="宋体"/>
        </w:rPr>
        <w:t>2、黄围东街延伸工程。该项目西起棋山路，东至陵修路，全长1567米，红线宽42米，总投资16509万元。目前正在进行路基施工。</w:t>
      </w:r>
    </w:p>
    <w:p w14:paraId="47FE0C1D">
      <w:pPr>
        <w:pStyle w:val="39"/>
        <w:spacing w:line="580" w:lineRule="exact"/>
        <w:rPr>
          <w:rFonts w:ascii="宋体" w:hAnsi="宋体" w:eastAsia="宋体"/>
        </w:rPr>
      </w:pPr>
      <w:r>
        <w:rPr>
          <w:rFonts w:hint="eastAsia" w:ascii="宋体" w:hAnsi="宋体" w:eastAsia="宋体"/>
        </w:rPr>
        <w:t>3、望川街道路工程。该项目西起状元路，东至棋山南路，全长1220米，红线宽42米，总投资7415万元。目前正在进行路基施工。</w:t>
      </w:r>
    </w:p>
    <w:p w14:paraId="5C24E114">
      <w:pPr>
        <w:pStyle w:val="39"/>
        <w:spacing w:line="580" w:lineRule="exact"/>
        <w:rPr>
          <w:rFonts w:ascii="宋体" w:hAnsi="宋体" w:eastAsia="宋体"/>
        </w:rPr>
      </w:pPr>
      <w:r>
        <w:rPr>
          <w:rFonts w:hint="eastAsia" w:ascii="宋体" w:hAnsi="宋体" w:eastAsia="宋体"/>
        </w:rPr>
        <w:t>4、玉龙湾小区基础设施配套工程。该项目主要是为玉龙湾小区建设供水、污水、供暖等配套基础设施，总投资1037万元。目前已投入正常运行。</w:t>
      </w:r>
    </w:p>
    <w:p w14:paraId="5D1C62EC">
      <w:pPr>
        <w:pStyle w:val="39"/>
        <w:spacing w:line="580" w:lineRule="exact"/>
        <w:rPr>
          <w:rFonts w:ascii="宋体" w:hAnsi="宋体" w:eastAsia="宋体"/>
        </w:rPr>
      </w:pPr>
      <w:r>
        <w:rPr>
          <w:rFonts w:hint="eastAsia" w:ascii="宋体" w:hAnsi="宋体" w:eastAsia="宋体"/>
        </w:rPr>
        <w:t>5、崇安休闲广场续建工程。该项目建设内容包括硬化铺装、绿化、亮化等。目前，地面铺装已全部完成，局部亮化正在设计。</w:t>
      </w:r>
    </w:p>
    <w:p w14:paraId="73E713D0">
      <w:pPr>
        <w:pStyle w:val="47"/>
        <w:spacing w:line="580" w:lineRule="exact"/>
      </w:pPr>
      <w:r>
        <w:rPr>
          <w:rFonts w:hint="eastAsia"/>
        </w:rPr>
        <w:t>(二)拟建项目</w:t>
      </w:r>
    </w:p>
    <w:p w14:paraId="3EC83082">
      <w:pPr>
        <w:pStyle w:val="39"/>
        <w:spacing w:line="580" w:lineRule="exact"/>
        <w:rPr>
          <w:rFonts w:ascii="宋体" w:hAnsi="宋体" w:eastAsia="宋体"/>
        </w:rPr>
      </w:pPr>
      <w:r>
        <w:rPr>
          <w:rFonts w:hint="eastAsia" w:ascii="宋体" w:hAnsi="宋体" w:eastAsia="宋体"/>
        </w:rPr>
        <w:t>1、洪河周边基础设施提质工程。该项目包括红河巷道路工程（南起黄围东街，北至南池）、红河南路道路工程（南起回龙街，北至黄围东街）、景观水系、南池引水、滑坡段绿化、滑坡段人行道、非机动车道修复等，投资估算约3000万元。</w:t>
      </w:r>
    </w:p>
    <w:p w14:paraId="649CCC4F">
      <w:pPr>
        <w:pStyle w:val="39"/>
        <w:spacing w:line="580" w:lineRule="exact"/>
        <w:rPr>
          <w:rFonts w:ascii="宋体" w:hAnsi="宋体" w:eastAsia="宋体"/>
        </w:rPr>
      </w:pPr>
      <w:r>
        <w:rPr>
          <w:rFonts w:hint="eastAsia" w:ascii="宋体" w:hAnsi="宋体" w:eastAsia="宋体"/>
        </w:rPr>
        <w:t>2、开云街（水务局至鸿生上城段）道路拓宽改造工程。长约900米，建设内容包括道路拓宽、人行道改造、照明、绿化及高压电力、通讯光缆入地改造等，投资估算约1500万元。</w:t>
      </w:r>
    </w:p>
    <w:p w14:paraId="380AA931">
      <w:pPr>
        <w:pStyle w:val="39"/>
        <w:spacing w:line="580" w:lineRule="exact"/>
        <w:rPr>
          <w:rFonts w:ascii="宋体" w:hAnsi="宋体" w:eastAsia="宋体"/>
        </w:rPr>
      </w:pPr>
      <w:r>
        <w:rPr>
          <w:rFonts w:hint="eastAsia" w:ascii="宋体" w:hAnsi="宋体" w:eastAsia="宋体"/>
        </w:rPr>
        <w:t>3、育才街（司法局至鸿雁街）道路翻修改造工程。长241米，红线宽12米，建设内容包括车行道、人行道翻修改造、雨水、污水、照明、绿化等，投资估算约500万元。</w:t>
      </w:r>
    </w:p>
    <w:p w14:paraId="29F3BBC2">
      <w:pPr>
        <w:pStyle w:val="39"/>
        <w:spacing w:line="580" w:lineRule="exact"/>
        <w:rPr>
          <w:rFonts w:ascii="宋体" w:hAnsi="宋体" w:eastAsia="宋体"/>
        </w:rPr>
      </w:pPr>
      <w:r>
        <w:rPr>
          <w:rFonts w:hint="eastAsia" w:ascii="宋体" w:hAnsi="宋体" w:eastAsia="宋体"/>
        </w:rPr>
        <w:t>4、陵修路（喇叭口至大会村，包括陵修路至东壁移民小区）道路亮化工程。计划安装LED照明路灯和3台箱变。投资估算约300万元。</w:t>
      </w:r>
    </w:p>
    <w:p w14:paraId="4C2ED295">
      <w:pPr>
        <w:pStyle w:val="39"/>
        <w:spacing w:line="580" w:lineRule="exact"/>
        <w:rPr>
          <w:rFonts w:ascii="宋体" w:hAnsi="宋体" w:eastAsia="宋体"/>
        </w:rPr>
        <w:sectPr>
          <w:headerReference r:id="rId3" w:type="default"/>
          <w:footerReference r:id="rId4" w:type="default"/>
          <w:footerReference r:id="rId5" w:type="even"/>
          <w:pgSz w:w="23814" w:h="16840" w:orient="landscape"/>
          <w:pgMar w:top="1985" w:right="1701" w:bottom="1701" w:left="2268" w:header="1134" w:footer="1134" w:gutter="0"/>
          <w:pgNumType w:start="1"/>
          <w:cols w:space="2109" w:num="2"/>
          <w:docGrid w:type="lines" w:linePitch="312" w:charSpace="-3603"/>
        </w:sectPr>
      </w:pPr>
      <w:r>
        <w:rPr>
          <w:rFonts w:hint="eastAsia" w:ascii="宋体" w:hAnsi="宋体" w:eastAsia="宋体"/>
        </w:rPr>
        <w:t>5、污水处理厂技术改造工程。项目总设计规模为日处理污水12000吨，技术改造建设规模为日处理污水6000吨。</w:t>
      </w:r>
    </w:p>
    <w:p w14:paraId="21820C13">
      <w:pPr>
        <w:pStyle w:val="2"/>
        <w:spacing w:before="0" w:after="0" w:line="580" w:lineRule="exact"/>
        <w:jc w:val="center"/>
        <w:rPr>
          <w:rFonts w:ascii="黑体" w:hAnsi="黑体" w:eastAsia="黑体"/>
          <w:sz w:val="36"/>
          <w:szCs w:val="36"/>
        </w:rPr>
      </w:pPr>
      <w:bookmarkStart w:id="12" w:name="_Toc528317011"/>
      <w:r>
        <w:rPr>
          <w:rFonts w:hint="eastAsia" w:ascii="黑体" w:hAnsi="黑体" w:eastAsia="黑体"/>
          <w:sz w:val="36"/>
          <w:szCs w:val="36"/>
        </w:rPr>
        <w:t>第二章  规划总则</w:t>
      </w:r>
      <w:bookmarkEnd w:id="12"/>
    </w:p>
    <w:p w14:paraId="558DF153">
      <w:pPr>
        <w:pStyle w:val="47"/>
        <w:spacing w:line="580" w:lineRule="exact"/>
      </w:pPr>
    </w:p>
    <w:p w14:paraId="659EBDF5">
      <w:pPr>
        <w:pStyle w:val="38"/>
        <w:numPr>
          <w:ilvl w:val="0"/>
          <w:numId w:val="3"/>
        </w:numPr>
        <w:spacing w:before="0" w:beforeLines="0" w:after="0" w:afterLines="0" w:line="580" w:lineRule="exact"/>
        <w:rPr>
          <w:rFonts w:ascii="黑体" w:hAnsi="黑体"/>
          <w:b/>
        </w:rPr>
      </w:pPr>
      <w:bookmarkStart w:id="13" w:name="_Toc528317012"/>
      <w:r>
        <w:rPr>
          <w:rFonts w:ascii="黑体" w:hAnsi="黑体"/>
          <w:b/>
        </w:rPr>
        <w:t>规划目标</w:t>
      </w:r>
      <w:bookmarkEnd w:id="13"/>
    </w:p>
    <w:p w14:paraId="4BA22FCE">
      <w:pPr>
        <w:pStyle w:val="39"/>
        <w:spacing w:line="580" w:lineRule="exact"/>
        <w:rPr>
          <w:rFonts w:ascii="宋体" w:hAnsi="宋体" w:eastAsia="宋体"/>
        </w:rPr>
      </w:pPr>
      <w:r>
        <w:rPr>
          <w:rFonts w:hint="eastAsia" w:ascii="宋体" w:hAnsi="宋体" w:eastAsia="宋体"/>
        </w:rPr>
        <w:t>以促进生产、生活、服务功能相互融合，营造城市人文魅力，建设和谐小城市为根本目标，深化落实总体规划的发展理念，依托邻里单元，构建生活组团生态细胞，深化落实绿色、低碳、生态、智慧设施建设。</w:t>
      </w:r>
    </w:p>
    <w:p w14:paraId="66D12628">
      <w:pPr>
        <w:pStyle w:val="39"/>
        <w:spacing w:line="580" w:lineRule="exact"/>
        <w:rPr>
          <w:rFonts w:ascii="宋体" w:hAnsi="宋体" w:eastAsia="宋体"/>
        </w:rPr>
      </w:pPr>
      <w:r>
        <w:rPr>
          <w:rFonts w:hint="eastAsia" w:ascii="宋体" w:hAnsi="宋体" w:eastAsia="宋体"/>
        </w:rPr>
        <w:t>坚持“绿色崛起、多元发展”道路，以创新驱动和城乡融合为发展理念，以建设“国家生态文明示范县”为目标，着力打造中原地区最具影响力的生态休闲旅游健康度假中心。</w:t>
      </w:r>
    </w:p>
    <w:p w14:paraId="1888CC91">
      <w:pPr>
        <w:pStyle w:val="39"/>
        <w:spacing w:line="580" w:lineRule="exact"/>
        <w:rPr>
          <w:rFonts w:ascii="宋体" w:hAnsi="宋体" w:eastAsia="宋体"/>
        </w:rPr>
      </w:pPr>
      <w:r>
        <w:rPr>
          <w:rFonts w:hint="eastAsia" w:ascii="宋体" w:hAnsi="宋体" w:eastAsia="宋体"/>
        </w:rPr>
        <w:t>(一)锁定“大美古陵、小康陵川”美好愿景，坚定不移走“绿色崛起、多元发展”之路,努力建成国家生态文明建设示范县</w:t>
      </w:r>
    </w:p>
    <w:p w14:paraId="47107D38">
      <w:pPr>
        <w:pStyle w:val="39"/>
        <w:spacing w:line="580" w:lineRule="exact"/>
        <w:rPr>
          <w:rFonts w:ascii="宋体" w:hAnsi="宋体" w:eastAsia="宋体"/>
        </w:rPr>
      </w:pPr>
      <w:r>
        <w:rPr>
          <w:rFonts w:hint="eastAsia" w:ascii="宋体" w:hAnsi="宋体" w:eastAsia="宋体"/>
        </w:rPr>
        <w:t>(二)依托转型综改、创新驱动的发展机遇，健全城乡融合发展体制机制，实现全面建成小康社会的百年奋斗目标</w:t>
      </w:r>
    </w:p>
    <w:p w14:paraId="55DCB258">
      <w:pPr>
        <w:pStyle w:val="39"/>
        <w:spacing w:line="580" w:lineRule="exact"/>
        <w:rPr>
          <w:rFonts w:ascii="宋体" w:hAnsi="宋体" w:eastAsia="宋体"/>
        </w:rPr>
      </w:pPr>
      <w:r>
        <w:rPr>
          <w:rFonts w:hint="eastAsia" w:ascii="宋体" w:hAnsi="宋体" w:eastAsia="宋体"/>
        </w:rPr>
        <w:t>(三)通过基础设施建设、区域合作，大力促进旅游与传统产业升级发展、积极培育新兴产业，将陵川打造为中原地区最具影响的生态休闲旅游、健康度假中心，建成最具活力的宜居宜业宜游新陵川。</w:t>
      </w:r>
    </w:p>
    <w:p w14:paraId="41E69BBE">
      <w:pPr>
        <w:pStyle w:val="39"/>
        <w:spacing w:line="580" w:lineRule="exact"/>
        <w:ind w:firstLineChars="0"/>
        <w:rPr>
          <w:rFonts w:ascii="宋体" w:hAnsi="宋体" w:eastAsia="宋体"/>
          <w:b/>
          <w:bCs/>
        </w:rPr>
      </w:pPr>
      <w:r>
        <w:rPr>
          <w:rFonts w:ascii="宋体" w:hAnsi="宋体" w:eastAsia="宋体"/>
        </w:rPr>
        <w:drawing>
          <wp:anchor distT="0" distB="0" distL="114300" distR="114300" simplePos="0" relativeHeight="251660288" behindDoc="0" locked="0" layoutInCell="1" allowOverlap="1">
            <wp:simplePos x="0" y="0"/>
            <wp:positionH relativeFrom="column">
              <wp:posOffset>-156845</wp:posOffset>
            </wp:positionH>
            <wp:positionV relativeFrom="paragraph">
              <wp:posOffset>28575</wp:posOffset>
            </wp:positionV>
            <wp:extent cx="5819140" cy="2121535"/>
            <wp:effectExtent l="19050" t="0" r="0" b="0"/>
            <wp:wrapNone/>
            <wp:docPr id="2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4"/>
                    <pic:cNvPicPr>
                      <a:picLocks noChangeAspect="1" noChangeArrowheads="1"/>
                    </pic:cNvPicPr>
                  </pic:nvPicPr>
                  <pic:blipFill>
                    <a:blip r:embed="rId7" cstate="print"/>
                    <a:srcRect/>
                    <a:stretch>
                      <a:fillRect/>
                    </a:stretch>
                  </pic:blipFill>
                  <pic:spPr>
                    <a:xfrm>
                      <a:off x="0" y="0"/>
                      <a:ext cx="5819140" cy="2121535"/>
                    </a:xfrm>
                    <a:prstGeom prst="rect">
                      <a:avLst/>
                    </a:prstGeom>
                    <a:noFill/>
                    <a:ln w="9525">
                      <a:noFill/>
                      <a:miter lim="800000"/>
                      <a:headEnd/>
                      <a:tailEnd/>
                    </a:ln>
                  </pic:spPr>
                </pic:pic>
              </a:graphicData>
            </a:graphic>
          </wp:anchor>
        </w:drawing>
      </w:r>
    </w:p>
    <w:p w14:paraId="3B0C5167">
      <w:pPr>
        <w:pStyle w:val="39"/>
        <w:spacing w:line="580" w:lineRule="exact"/>
        <w:ind w:firstLineChars="0"/>
        <w:rPr>
          <w:rFonts w:ascii="宋体" w:hAnsi="宋体" w:eastAsia="宋体"/>
          <w:b/>
          <w:bCs/>
        </w:rPr>
      </w:pPr>
    </w:p>
    <w:p w14:paraId="482AE5FA">
      <w:pPr>
        <w:pStyle w:val="39"/>
        <w:spacing w:line="580" w:lineRule="exact"/>
        <w:ind w:firstLineChars="0"/>
        <w:rPr>
          <w:rFonts w:ascii="宋体" w:hAnsi="宋体" w:eastAsia="宋体"/>
          <w:b/>
          <w:bCs/>
        </w:rPr>
      </w:pPr>
    </w:p>
    <w:p w14:paraId="781E5854">
      <w:pPr>
        <w:pStyle w:val="39"/>
        <w:spacing w:line="580" w:lineRule="exact"/>
        <w:ind w:firstLineChars="0"/>
        <w:rPr>
          <w:rFonts w:ascii="宋体" w:hAnsi="宋体" w:eastAsia="宋体"/>
          <w:b/>
          <w:bCs/>
        </w:rPr>
      </w:pPr>
    </w:p>
    <w:p w14:paraId="332C9581">
      <w:pPr>
        <w:pStyle w:val="39"/>
        <w:spacing w:line="580" w:lineRule="exact"/>
        <w:ind w:firstLineChars="0"/>
        <w:rPr>
          <w:rFonts w:ascii="宋体" w:hAnsi="宋体" w:eastAsia="宋体"/>
          <w:b/>
          <w:bCs/>
        </w:rPr>
      </w:pPr>
    </w:p>
    <w:p w14:paraId="1B780E49">
      <w:pPr>
        <w:pStyle w:val="39"/>
        <w:spacing w:line="580" w:lineRule="exact"/>
        <w:ind w:firstLineChars="0"/>
        <w:rPr>
          <w:rFonts w:ascii="宋体" w:hAnsi="宋体" w:eastAsia="宋体"/>
          <w:b/>
          <w:bCs/>
        </w:rPr>
      </w:pPr>
    </w:p>
    <w:p w14:paraId="08FD5182">
      <w:pPr>
        <w:pStyle w:val="39"/>
        <w:spacing w:line="580" w:lineRule="exact"/>
        <w:ind w:firstLineChars="0"/>
        <w:rPr>
          <w:rFonts w:ascii="宋体" w:hAnsi="宋体" w:eastAsia="宋体"/>
          <w:b/>
          <w:bCs/>
        </w:rPr>
      </w:pPr>
      <w:r>
        <w:rPr>
          <w:rFonts w:ascii="宋体" w:hAnsi="宋体" w:eastAsia="宋体"/>
        </w:rPr>
        <w:drawing>
          <wp:anchor distT="0" distB="0" distL="114300" distR="114300" simplePos="0" relativeHeight="251659264" behindDoc="0" locked="0" layoutInCell="1" allowOverlap="1">
            <wp:simplePos x="0" y="0"/>
            <wp:positionH relativeFrom="column">
              <wp:posOffset>-30480</wp:posOffset>
            </wp:positionH>
            <wp:positionV relativeFrom="paragraph">
              <wp:posOffset>88900</wp:posOffset>
            </wp:positionV>
            <wp:extent cx="5981700" cy="1028700"/>
            <wp:effectExtent l="19050" t="0" r="0" b="0"/>
            <wp:wrapNone/>
            <wp:docPr id="2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
                    <pic:cNvPicPr>
                      <a:picLocks noChangeAspect="1" noChangeArrowheads="1"/>
                    </pic:cNvPicPr>
                  </pic:nvPicPr>
                  <pic:blipFill>
                    <a:blip r:embed="rId8" cstate="print"/>
                    <a:srcRect/>
                    <a:stretch>
                      <a:fillRect/>
                    </a:stretch>
                  </pic:blipFill>
                  <pic:spPr>
                    <a:xfrm>
                      <a:off x="0" y="0"/>
                      <a:ext cx="5981700" cy="1028700"/>
                    </a:xfrm>
                    <a:prstGeom prst="rect">
                      <a:avLst/>
                    </a:prstGeom>
                    <a:noFill/>
                    <a:ln w="9525">
                      <a:noFill/>
                      <a:miter lim="800000"/>
                      <a:headEnd/>
                      <a:tailEnd/>
                    </a:ln>
                  </pic:spPr>
                </pic:pic>
              </a:graphicData>
            </a:graphic>
          </wp:anchor>
        </w:drawing>
      </w:r>
    </w:p>
    <w:p w14:paraId="349E7EA1">
      <w:pPr>
        <w:pStyle w:val="39"/>
        <w:spacing w:line="580" w:lineRule="exact"/>
        <w:ind w:firstLineChars="0"/>
        <w:rPr>
          <w:rFonts w:ascii="宋体" w:hAnsi="宋体" w:eastAsia="宋体"/>
          <w:b/>
          <w:bCs/>
        </w:rPr>
      </w:pPr>
    </w:p>
    <w:p w14:paraId="5E5354A8">
      <w:pPr>
        <w:pStyle w:val="39"/>
        <w:spacing w:line="580" w:lineRule="exact"/>
        <w:ind w:firstLineChars="0"/>
        <w:rPr>
          <w:rFonts w:ascii="宋体" w:hAnsi="宋体" w:eastAsia="宋体"/>
          <w:b/>
          <w:bCs/>
        </w:rPr>
      </w:pPr>
    </w:p>
    <w:p w14:paraId="388FDAD2">
      <w:pPr>
        <w:pStyle w:val="38"/>
        <w:numPr>
          <w:ilvl w:val="0"/>
          <w:numId w:val="3"/>
        </w:numPr>
        <w:spacing w:before="0" w:beforeLines="0" w:after="0" w:afterLines="0" w:line="580" w:lineRule="exact"/>
        <w:rPr>
          <w:rFonts w:ascii="黑体" w:hAnsi="黑体"/>
          <w:b/>
        </w:rPr>
      </w:pPr>
      <w:bookmarkStart w:id="14" w:name="_Toc528317013"/>
      <w:r>
        <w:rPr>
          <w:rFonts w:hint="eastAsia" w:ascii="黑体" w:hAnsi="黑体"/>
          <w:b/>
        </w:rPr>
        <w:t>规划重点</w:t>
      </w:r>
      <w:bookmarkEnd w:id="14"/>
    </w:p>
    <w:p w14:paraId="7328B166">
      <w:pPr>
        <w:pStyle w:val="39"/>
        <w:spacing w:line="580" w:lineRule="exact"/>
        <w:rPr>
          <w:rFonts w:ascii="宋体" w:hAnsi="宋体" w:eastAsia="宋体"/>
        </w:rPr>
      </w:pPr>
      <w:r>
        <w:rPr>
          <w:rFonts w:hint="eastAsia" w:ascii="宋体" w:hAnsi="宋体" w:eastAsia="宋体"/>
        </w:rPr>
        <w:t>(一)落实总体规划、专项规划的设计要求</w:t>
      </w:r>
    </w:p>
    <w:p w14:paraId="46CFCB81">
      <w:pPr>
        <w:pStyle w:val="39"/>
        <w:spacing w:line="580" w:lineRule="exact"/>
        <w:rPr>
          <w:rFonts w:ascii="宋体" w:hAnsi="宋体" w:eastAsia="宋体"/>
        </w:rPr>
      </w:pPr>
      <w:r>
        <w:rPr>
          <w:rFonts w:hint="eastAsia" w:ascii="宋体" w:hAnsi="宋体" w:eastAsia="宋体"/>
        </w:rPr>
        <w:t>进一步深化和落实总体规划、专项规划确定的规划设计理念、发展目标、用地布局、交通组织、绿色、低碳、智慧等各项要求，以指导下层次修建性详细规划编制和具体地块开发建设。</w:t>
      </w:r>
    </w:p>
    <w:p w14:paraId="1EE97D02">
      <w:pPr>
        <w:pStyle w:val="39"/>
        <w:spacing w:line="580" w:lineRule="exact"/>
        <w:rPr>
          <w:rFonts w:ascii="宋体" w:hAnsi="宋体" w:eastAsia="宋体"/>
        </w:rPr>
      </w:pPr>
      <w:r>
        <w:rPr>
          <w:rFonts w:hint="eastAsia" w:ascii="宋体" w:hAnsi="宋体" w:eastAsia="宋体"/>
        </w:rPr>
        <w:t>(二)协调和指导近期建设项目</w:t>
      </w:r>
    </w:p>
    <w:p w14:paraId="319E86DA">
      <w:pPr>
        <w:pStyle w:val="39"/>
        <w:spacing w:line="580" w:lineRule="exact"/>
        <w:rPr>
          <w:rFonts w:ascii="宋体" w:hAnsi="宋体" w:eastAsia="宋体"/>
        </w:rPr>
      </w:pPr>
      <w:r>
        <w:rPr>
          <w:rFonts w:hint="eastAsia" w:ascii="宋体" w:hAnsi="宋体" w:eastAsia="宋体"/>
        </w:rPr>
        <w:t>紧密协调政府年度工作计划、近期建设项目，确保规划设计条件的可操作性，确保近期建设项目与整体城市发展理念、空间结构和景观风貌的协调。</w:t>
      </w:r>
    </w:p>
    <w:p w14:paraId="0E5DDAA4">
      <w:pPr>
        <w:pStyle w:val="39"/>
        <w:spacing w:line="580" w:lineRule="exact"/>
        <w:rPr>
          <w:rFonts w:ascii="宋体" w:hAnsi="宋体" w:eastAsia="宋体"/>
        </w:rPr>
      </w:pPr>
      <w:r>
        <w:rPr>
          <w:rFonts w:hint="eastAsia" w:ascii="宋体" w:hAnsi="宋体" w:eastAsia="宋体"/>
        </w:rPr>
        <w:t>(三)研究绿色、低碳、生态、智慧控制指标</w:t>
      </w:r>
    </w:p>
    <w:p w14:paraId="7EE02F27">
      <w:pPr>
        <w:pStyle w:val="39"/>
        <w:spacing w:line="580" w:lineRule="exact"/>
        <w:rPr>
          <w:rFonts w:ascii="宋体" w:hAnsi="宋体" w:eastAsia="宋体"/>
        </w:rPr>
      </w:pPr>
      <w:r>
        <w:rPr>
          <w:rFonts w:hint="eastAsia" w:ascii="宋体" w:hAnsi="宋体" w:eastAsia="宋体"/>
        </w:rPr>
        <w:t>结合陵川县的总体规划理念和布局，探索绿色、低碳、生态、智慧等先进理念的规划落实与实施，研究以邻里单元为细胞的绿色低碳空间体系的建设。</w:t>
      </w:r>
    </w:p>
    <w:p w14:paraId="3A510BF1">
      <w:pPr>
        <w:pStyle w:val="39"/>
        <w:spacing w:line="580" w:lineRule="exact"/>
        <w:rPr>
          <w:rFonts w:ascii="宋体" w:hAnsi="宋体" w:eastAsia="宋体"/>
        </w:rPr>
      </w:pPr>
      <w:r>
        <w:rPr>
          <w:rFonts w:hint="eastAsia" w:ascii="宋体" w:hAnsi="宋体" w:eastAsia="宋体"/>
        </w:rPr>
        <w:t>(四)研究陵川县城的规划编制和管理办法。</w:t>
      </w:r>
    </w:p>
    <w:p w14:paraId="1B82880C">
      <w:pPr>
        <w:pStyle w:val="39"/>
        <w:spacing w:line="580" w:lineRule="exact"/>
        <w:rPr>
          <w:rFonts w:ascii="宋体" w:hAnsi="宋体" w:eastAsia="宋体"/>
        </w:rPr>
      </w:pPr>
      <w:r>
        <w:rPr>
          <w:rFonts w:hint="eastAsia" w:ascii="宋体" w:hAnsi="宋体" w:eastAsia="宋体"/>
        </w:rPr>
        <w:t>陵川县位于晋城市，规划管理涉及到陵川县管理机构和晋城市规划管理机构。同时，陵川的规划控制体系中，需要纳入低碳生态以及城市设计等多方面的内容。本次控规编制需要探索解决规划编制方法和控制体系的创新与既有的规划管理模式的矛盾。</w:t>
      </w:r>
    </w:p>
    <w:p w14:paraId="7E5DC53C">
      <w:pPr>
        <w:pStyle w:val="38"/>
        <w:numPr>
          <w:ilvl w:val="0"/>
          <w:numId w:val="3"/>
        </w:numPr>
        <w:spacing w:before="0" w:beforeLines="0" w:after="0" w:afterLines="0" w:line="580" w:lineRule="exact"/>
        <w:rPr>
          <w:rFonts w:ascii="黑体" w:hAnsi="黑体"/>
          <w:b/>
        </w:rPr>
      </w:pPr>
      <w:bookmarkStart w:id="15" w:name="_Toc528317014"/>
      <w:r>
        <w:rPr>
          <w:rFonts w:hint="eastAsia" w:ascii="黑体" w:hAnsi="黑体"/>
          <w:b/>
        </w:rPr>
        <w:t>技术路线</w:t>
      </w:r>
      <w:bookmarkEnd w:id="15"/>
    </w:p>
    <w:p w14:paraId="0C62F613">
      <w:pPr>
        <w:spacing w:line="580" w:lineRule="exact"/>
        <w:rPr>
          <w:rFonts w:ascii="宋体" w:hAnsi="宋体"/>
          <w:sz w:val="28"/>
          <w:szCs w:val="28"/>
        </w:rPr>
      </w:pPr>
      <w:r>
        <w:rPr>
          <w:rFonts w:hint="eastAsia" w:ascii="黑体" w:hAnsi="黑体"/>
          <w:b/>
        </w:rPr>
        <w:drawing>
          <wp:anchor distT="0" distB="0" distL="114300" distR="114300" simplePos="0" relativeHeight="251669504" behindDoc="0" locked="0" layoutInCell="1" allowOverlap="1">
            <wp:simplePos x="0" y="0"/>
            <wp:positionH relativeFrom="column">
              <wp:posOffset>988695</wp:posOffset>
            </wp:positionH>
            <wp:positionV relativeFrom="paragraph">
              <wp:posOffset>43180</wp:posOffset>
            </wp:positionV>
            <wp:extent cx="8366125" cy="5715635"/>
            <wp:effectExtent l="0" t="0" r="0" b="0"/>
            <wp:wrapNone/>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noChangeArrowheads="1"/>
                    </pic:cNvPicPr>
                  </pic:nvPicPr>
                  <pic:blipFill>
                    <a:blip r:embed="rId9" cstate="print"/>
                    <a:srcRect/>
                    <a:stretch>
                      <a:fillRect/>
                    </a:stretch>
                  </pic:blipFill>
                  <pic:spPr>
                    <a:xfrm>
                      <a:off x="0" y="0"/>
                      <a:ext cx="8371000" cy="5718691"/>
                    </a:xfrm>
                    <a:prstGeom prst="rect">
                      <a:avLst/>
                    </a:prstGeom>
                    <a:noFill/>
                    <a:ln w="9525">
                      <a:noFill/>
                      <a:miter lim="800000"/>
                      <a:headEnd/>
                      <a:tailEnd/>
                    </a:ln>
                  </pic:spPr>
                </pic:pic>
              </a:graphicData>
            </a:graphic>
          </wp:anchor>
        </w:drawing>
      </w:r>
    </w:p>
    <w:p w14:paraId="6D791C93">
      <w:pPr>
        <w:spacing w:line="580" w:lineRule="exact"/>
        <w:rPr>
          <w:rFonts w:ascii="宋体" w:hAnsi="宋体"/>
          <w:sz w:val="28"/>
          <w:szCs w:val="28"/>
        </w:rPr>
      </w:pPr>
    </w:p>
    <w:p w14:paraId="68F3024E">
      <w:pPr>
        <w:spacing w:line="580" w:lineRule="exact"/>
        <w:rPr>
          <w:rFonts w:ascii="宋体" w:hAnsi="宋体"/>
          <w:sz w:val="28"/>
          <w:szCs w:val="28"/>
        </w:rPr>
      </w:pPr>
    </w:p>
    <w:p w14:paraId="43E3459D">
      <w:pPr>
        <w:spacing w:line="580" w:lineRule="exact"/>
        <w:rPr>
          <w:rFonts w:ascii="宋体" w:hAnsi="宋体"/>
          <w:sz w:val="28"/>
          <w:szCs w:val="28"/>
        </w:rPr>
      </w:pPr>
    </w:p>
    <w:p w14:paraId="79B9DD4F">
      <w:pPr>
        <w:spacing w:line="580" w:lineRule="exact"/>
        <w:rPr>
          <w:rFonts w:ascii="宋体" w:hAnsi="宋体"/>
          <w:sz w:val="28"/>
          <w:szCs w:val="28"/>
        </w:rPr>
      </w:pPr>
    </w:p>
    <w:p w14:paraId="0F0337E3">
      <w:pPr>
        <w:pStyle w:val="2"/>
        <w:spacing w:before="0" w:after="0" w:line="580" w:lineRule="exact"/>
        <w:jc w:val="center"/>
        <w:rPr>
          <w:rFonts w:ascii="黑体" w:hAnsi="黑体" w:eastAsia="黑体"/>
          <w:sz w:val="36"/>
          <w:szCs w:val="36"/>
        </w:rPr>
      </w:pPr>
      <w:r>
        <w:rPr>
          <w:rFonts w:ascii="黑体" w:hAnsi="黑体"/>
          <w:bCs w:val="0"/>
          <w:sz w:val="36"/>
          <w:szCs w:val="36"/>
        </w:rPr>
        <w:br w:type="page"/>
      </w:r>
      <w:bookmarkStart w:id="16" w:name="_Toc528317015"/>
      <w:r>
        <w:rPr>
          <w:rFonts w:hint="eastAsia" w:ascii="黑体" w:hAnsi="黑体" w:eastAsia="黑体"/>
          <w:sz w:val="36"/>
          <w:szCs w:val="36"/>
        </w:rPr>
        <w:t>第三章  总体规模预测</w:t>
      </w:r>
      <w:bookmarkEnd w:id="16"/>
    </w:p>
    <w:p w14:paraId="6D190AD1">
      <w:pPr>
        <w:pStyle w:val="47"/>
        <w:spacing w:line="580" w:lineRule="exact"/>
      </w:pPr>
    </w:p>
    <w:p w14:paraId="13DBC82B">
      <w:pPr>
        <w:pStyle w:val="38"/>
        <w:numPr>
          <w:ilvl w:val="0"/>
          <w:numId w:val="4"/>
        </w:numPr>
        <w:spacing w:before="0" w:beforeLines="0" w:after="0" w:afterLines="0" w:line="580" w:lineRule="exact"/>
        <w:rPr>
          <w:rFonts w:ascii="黑体" w:hAnsi="黑体"/>
          <w:b/>
        </w:rPr>
      </w:pPr>
      <w:bookmarkStart w:id="17" w:name="_Toc528317016"/>
      <w:r>
        <w:rPr>
          <w:rFonts w:hint="eastAsia" w:ascii="黑体" w:hAnsi="黑体"/>
          <w:b/>
        </w:rPr>
        <w:t>人口规模</w:t>
      </w:r>
      <w:bookmarkEnd w:id="17"/>
    </w:p>
    <w:p w14:paraId="1E8159E3">
      <w:pPr>
        <w:pStyle w:val="47"/>
        <w:spacing w:line="580" w:lineRule="exact"/>
      </w:pPr>
      <w:r>
        <w:rPr>
          <w:rFonts w:hint="eastAsia"/>
        </w:rPr>
        <w:t>(一)人均居住用地控制指标法</w:t>
      </w:r>
    </w:p>
    <w:p w14:paraId="4A34504F">
      <w:pPr>
        <w:pStyle w:val="39"/>
        <w:spacing w:line="580" w:lineRule="exact"/>
        <w:rPr>
          <w:rFonts w:ascii="宋体" w:hAnsi="宋体" w:eastAsia="宋体"/>
        </w:rPr>
      </w:pPr>
      <w:r>
        <w:rPr>
          <w:rFonts w:hint="eastAsia" w:ascii="宋体" w:hAnsi="宋体" w:eastAsia="宋体"/>
        </w:rPr>
        <w:t>陵川县中心城区居住用地面积约401公顷（不含中小学及幼儿园等学校用地），根据《陵川县县城总体规划》，人均居住用地控制指标为37.72平方米/人，考虑到陵川县城地形地貌、现状居住建筑以二层为主，未来旧城更新的速度及强度等因素，确定人均居住用地控制指标为40平方米/人，则可容纳人口约为10万人。</w:t>
      </w:r>
    </w:p>
    <w:p w14:paraId="058B1147">
      <w:pPr>
        <w:pStyle w:val="47"/>
        <w:spacing w:line="580" w:lineRule="exact"/>
      </w:pPr>
      <w:r>
        <w:rPr>
          <w:rFonts w:hint="eastAsia"/>
        </w:rPr>
        <w:t>(二)人均住宅建筑面积控制指标法</w:t>
      </w:r>
    </w:p>
    <w:p w14:paraId="4BA2AB15">
      <w:pPr>
        <w:pStyle w:val="39"/>
        <w:spacing w:line="580" w:lineRule="exact"/>
        <w:rPr>
          <w:rFonts w:ascii="宋体" w:hAnsi="宋体" w:eastAsia="宋体"/>
        </w:rPr>
      </w:pPr>
      <w:r>
        <w:rPr>
          <w:rFonts w:hint="eastAsia" w:ascii="宋体" w:hAnsi="宋体" w:eastAsia="宋体"/>
        </w:rPr>
        <w:t>陵川县中心城区居住用地平均容积率为1.5，居住建筑面积总量约为639万平方米。2017年</w:t>
      </w:r>
      <w:r>
        <w:rPr>
          <w:rFonts w:ascii="宋体" w:hAnsi="宋体" w:eastAsia="宋体"/>
        </w:rPr>
        <w:t>国家统计局发布</w:t>
      </w:r>
      <w:r>
        <w:rPr>
          <w:rFonts w:hint="eastAsia" w:ascii="宋体" w:hAnsi="宋体" w:eastAsia="宋体"/>
        </w:rPr>
        <w:t>了</w:t>
      </w:r>
      <w:r>
        <w:rPr>
          <w:rFonts w:ascii="宋体" w:hAnsi="宋体" w:eastAsia="宋体"/>
        </w:rPr>
        <w:t>《居民收入持续较快增长人民生活质量不断提高》，该报告指出2016年全国居民人均住房建筑面积为40.8平方米</w:t>
      </w:r>
      <w:r>
        <w:rPr>
          <w:rFonts w:hint="eastAsia" w:ascii="宋体" w:hAnsi="宋体" w:eastAsia="宋体"/>
        </w:rPr>
        <w:t>，</w:t>
      </w:r>
      <w:r>
        <w:rPr>
          <w:rFonts w:ascii="宋体" w:hAnsi="宋体" w:eastAsia="宋体"/>
        </w:rPr>
        <w:t>2016年城镇居民人均住房建筑面积为36.6平方米</w:t>
      </w:r>
      <w:r>
        <w:rPr>
          <w:rFonts w:hint="eastAsia" w:ascii="宋体" w:hAnsi="宋体" w:eastAsia="宋体"/>
        </w:rPr>
        <w:t>；</w:t>
      </w:r>
      <w:r>
        <w:fldChar w:fldCharType="begin"/>
      </w:r>
      <w:r>
        <w:instrText xml:space="preserve"> HYPERLINK "http://www.baidu.com/s?wd=%E5%BB%BA%E8%AE%BE%E9%83%A8&amp;tn=SE_PcZhidaonwhc_ngpagmjz&amp;rsv_dl=gh_pc_zhidao" \t "_blank" </w:instrText>
      </w:r>
      <w:r>
        <w:fldChar w:fldCharType="separate"/>
      </w:r>
      <w:r>
        <w:rPr>
          <w:rFonts w:hint="eastAsia" w:ascii="宋体" w:hAnsi="宋体" w:eastAsia="宋体"/>
        </w:rPr>
        <w:t>建设部</w:t>
      </w:r>
      <w:r>
        <w:rPr>
          <w:rFonts w:hint="eastAsia" w:ascii="宋体" w:hAnsi="宋体" w:eastAsia="宋体"/>
        </w:rPr>
        <w:fldChar w:fldCharType="end"/>
      </w:r>
      <w:r>
        <w:rPr>
          <w:rFonts w:hint="eastAsia" w:ascii="宋体" w:hAnsi="宋体" w:eastAsia="宋体"/>
        </w:rPr>
        <w:t>政策研究中心发布的《2020年中国居民居住目标预测研究报告》2020年我国城镇人均住房建筑面积预计达35平方米，每套住宅平均面积达到120平方米；山西</w:t>
      </w:r>
      <w:r>
        <w:rPr>
          <w:rFonts w:ascii="宋体" w:hAnsi="宋体" w:eastAsia="宋体"/>
        </w:rPr>
        <w:t>省住建厅印发的《山西省住房和城乡建设事业“十三五”规划》提出，到2020年，城镇居民人均住房面积达38平方米</w:t>
      </w:r>
      <w:r>
        <w:rPr>
          <w:rFonts w:hint="eastAsia" w:ascii="宋体" w:hAnsi="宋体" w:eastAsia="宋体"/>
        </w:rPr>
        <w:t>；《晋城市城市总体规划2008-2020》人均住房建筑面积达到</w:t>
      </w:r>
      <w:r>
        <w:rPr>
          <w:rFonts w:ascii="宋体" w:hAnsi="宋体" w:eastAsia="宋体"/>
        </w:rPr>
        <w:t>36</w:t>
      </w:r>
      <w:r>
        <w:rPr>
          <w:rFonts w:hint="eastAsia" w:ascii="宋体" w:hAnsi="宋体" w:eastAsia="宋体"/>
        </w:rPr>
        <w:t>平方米，结合国家相关数据及陵川建设现实，确定陵川县城镇居民人均住房面积控制在43平方米，则到规划期末陵川县城可容纳居住人口约为14.8万人。</w:t>
      </w:r>
    </w:p>
    <w:p w14:paraId="0665C2E7">
      <w:pPr>
        <w:pStyle w:val="39"/>
        <w:spacing w:line="580" w:lineRule="exact"/>
        <w:rPr>
          <w:rFonts w:ascii="宋体" w:hAnsi="宋体" w:eastAsia="宋体"/>
        </w:rPr>
      </w:pPr>
      <w:r>
        <w:rPr>
          <w:rFonts w:hint="eastAsia" w:ascii="宋体" w:hAnsi="宋体" w:eastAsia="宋体"/>
        </w:rPr>
        <w:t>综合两种预测方法，确定陵川县城居住人口容量约为12.5万人。</w:t>
      </w:r>
    </w:p>
    <w:p w14:paraId="3F95C8FF">
      <w:pPr>
        <w:pStyle w:val="38"/>
        <w:numPr>
          <w:ilvl w:val="0"/>
          <w:numId w:val="4"/>
        </w:numPr>
        <w:spacing w:before="0" w:beforeLines="0" w:after="0" w:afterLines="0" w:line="580" w:lineRule="exact"/>
        <w:rPr>
          <w:rFonts w:ascii="黑体" w:hAnsi="黑体"/>
          <w:b/>
        </w:rPr>
      </w:pPr>
      <w:bookmarkStart w:id="18" w:name="_Toc528317017"/>
      <w:r>
        <w:rPr>
          <w:rFonts w:hint="eastAsia" w:ascii="黑体" w:hAnsi="黑体"/>
          <w:b/>
        </w:rPr>
        <w:t>人口特征与空间需求</w:t>
      </w:r>
      <w:bookmarkEnd w:id="18"/>
    </w:p>
    <w:p w14:paraId="66DFA294">
      <w:pPr>
        <w:pStyle w:val="39"/>
        <w:spacing w:line="580" w:lineRule="exact"/>
        <w:rPr>
          <w:rFonts w:ascii="宋体" w:hAnsi="宋体" w:eastAsia="宋体"/>
        </w:rPr>
      </w:pPr>
      <w:r>
        <w:rPr>
          <w:rFonts w:hint="eastAsia" w:ascii="宋体" w:hAnsi="宋体" w:eastAsia="宋体"/>
        </w:rPr>
        <w:t>通过对陵川县城人口结构特征的分析，根据国家相关标准和规定，从城市发展和人的需求两方面出发，对各类用地和设施进行科学合理的综合布置。</w:t>
      </w:r>
    </w:p>
    <w:p w14:paraId="70F71B04">
      <w:pPr>
        <w:pStyle w:val="47"/>
        <w:spacing w:line="580" w:lineRule="exact"/>
      </w:pPr>
      <w:r>
        <w:rPr>
          <w:rFonts w:hint="eastAsia"/>
        </w:rPr>
        <w:t>(一)人口特征</w:t>
      </w:r>
    </w:p>
    <w:p w14:paraId="0076DFFD">
      <w:pPr>
        <w:pStyle w:val="39"/>
        <w:spacing w:line="580" w:lineRule="exact"/>
        <w:rPr>
          <w:rFonts w:ascii="宋体" w:hAnsi="宋体" w:eastAsia="宋体"/>
        </w:rPr>
      </w:pPr>
      <w:r>
        <w:rPr>
          <w:rFonts w:hint="eastAsia" w:ascii="宋体" w:hAnsi="宋体" w:eastAsia="宋体"/>
        </w:rPr>
        <w:t>据陵川县公安局城关中心派出所提供的人口统计年报资料，2016年上述统计范围内的县城户籍人口共有68083人。包括崇文镇的非农业人口41704人，以及城北社区、城南社区、城东社区、城西社区、城内社区、仕林苑社区和仕图苑社区的农业人口26379人。</w:t>
      </w:r>
    </w:p>
    <w:p w14:paraId="49C40D0D">
      <w:pPr>
        <w:pStyle w:val="42"/>
        <w:spacing w:line="580" w:lineRule="exact"/>
        <w:ind w:firstLine="538"/>
        <w:rPr>
          <w:rFonts w:ascii="宋体" w:hAnsi="宋体"/>
          <w:sz w:val="28"/>
          <w:szCs w:val="28"/>
        </w:rPr>
      </w:pPr>
      <w:r>
        <w:rPr>
          <w:rFonts w:hint="eastAsia" w:ascii="宋体" w:hAnsi="宋体"/>
          <w:sz w:val="28"/>
          <w:szCs w:val="28"/>
        </w:rPr>
        <w:t>表</w:t>
      </w:r>
      <w:r>
        <w:rPr>
          <w:rFonts w:ascii="宋体" w:hAnsi="宋体"/>
          <w:sz w:val="28"/>
          <w:szCs w:val="28"/>
        </w:rPr>
        <w:t xml:space="preserve">2  </w:t>
      </w:r>
      <w:r>
        <w:rPr>
          <w:rFonts w:hint="eastAsia" w:ascii="宋体" w:hAnsi="宋体"/>
          <w:sz w:val="28"/>
          <w:szCs w:val="28"/>
        </w:rPr>
        <w:t>2016年底县城城区及周边各村庄人口量</w:t>
      </w:r>
    </w:p>
    <w:tbl>
      <w:tblPr>
        <w:tblStyle w:val="21"/>
        <w:tblW w:w="0" w:type="auto"/>
        <w:jc w:val="center"/>
        <w:tblLayout w:type="fixed"/>
        <w:tblCellMar>
          <w:top w:w="15" w:type="dxa"/>
          <w:left w:w="15" w:type="dxa"/>
          <w:bottom w:w="15" w:type="dxa"/>
          <w:right w:w="15" w:type="dxa"/>
        </w:tblCellMar>
      </w:tblPr>
      <w:tblGrid>
        <w:gridCol w:w="2218"/>
        <w:gridCol w:w="1880"/>
        <w:gridCol w:w="2220"/>
        <w:gridCol w:w="1879"/>
      </w:tblGrid>
      <w:tr w14:paraId="08DDBED4">
        <w:tblPrEx>
          <w:tblCellMar>
            <w:top w:w="15" w:type="dxa"/>
            <w:left w:w="15" w:type="dxa"/>
            <w:bottom w:w="15" w:type="dxa"/>
            <w:right w:w="15" w:type="dxa"/>
          </w:tblCellMar>
        </w:tblPrEx>
        <w:trPr>
          <w:trHeight w:val="332" w:hRule="atLeast"/>
          <w:jc w:val="center"/>
        </w:trPr>
        <w:tc>
          <w:tcPr>
            <w:tcW w:w="2218" w:type="dxa"/>
            <w:tcBorders>
              <w:top w:val="single" w:color="000000" w:sz="4" w:space="0"/>
              <w:left w:val="single" w:color="000000" w:sz="4" w:space="0"/>
              <w:bottom w:val="single" w:color="000000" w:sz="4" w:space="0"/>
              <w:right w:val="single" w:color="000000" w:sz="4" w:space="0"/>
            </w:tcBorders>
            <w:vAlign w:val="center"/>
          </w:tcPr>
          <w:p w14:paraId="0682500C">
            <w:pPr>
              <w:pStyle w:val="48"/>
            </w:pPr>
            <w:r>
              <w:rPr>
                <w:rFonts w:hint="eastAsia"/>
              </w:rPr>
              <w:t>社区、村</w:t>
            </w:r>
          </w:p>
        </w:tc>
        <w:tc>
          <w:tcPr>
            <w:tcW w:w="1880" w:type="dxa"/>
            <w:tcBorders>
              <w:top w:val="single" w:color="000000" w:sz="4" w:space="0"/>
              <w:left w:val="single" w:color="000000" w:sz="4" w:space="0"/>
              <w:bottom w:val="single" w:color="000000" w:sz="4" w:space="0"/>
              <w:right w:val="single" w:color="000000" w:sz="4" w:space="0"/>
            </w:tcBorders>
            <w:vAlign w:val="center"/>
          </w:tcPr>
          <w:p w14:paraId="7B7A300F">
            <w:pPr>
              <w:pStyle w:val="48"/>
            </w:pPr>
            <w:r>
              <w:rPr>
                <w:rFonts w:hint="eastAsia"/>
              </w:rPr>
              <w:t>人数</w:t>
            </w:r>
          </w:p>
        </w:tc>
        <w:tc>
          <w:tcPr>
            <w:tcW w:w="2220" w:type="dxa"/>
            <w:tcBorders>
              <w:top w:val="single" w:color="000000" w:sz="4" w:space="0"/>
              <w:left w:val="single" w:color="000000" w:sz="4" w:space="0"/>
              <w:bottom w:val="single" w:color="000000" w:sz="4" w:space="0"/>
              <w:right w:val="single" w:color="000000" w:sz="4" w:space="0"/>
            </w:tcBorders>
            <w:vAlign w:val="center"/>
          </w:tcPr>
          <w:p w14:paraId="72007EC9">
            <w:pPr>
              <w:pStyle w:val="48"/>
            </w:pPr>
            <w:r>
              <w:rPr>
                <w:rFonts w:hint="eastAsia"/>
              </w:rPr>
              <w:t>社区、村</w:t>
            </w:r>
          </w:p>
        </w:tc>
        <w:tc>
          <w:tcPr>
            <w:tcW w:w="1879" w:type="dxa"/>
            <w:tcBorders>
              <w:top w:val="single" w:color="000000" w:sz="4" w:space="0"/>
              <w:left w:val="single" w:color="000000" w:sz="4" w:space="0"/>
              <w:bottom w:val="single" w:color="000000" w:sz="4" w:space="0"/>
              <w:right w:val="single" w:color="000000" w:sz="4" w:space="0"/>
            </w:tcBorders>
            <w:vAlign w:val="center"/>
          </w:tcPr>
          <w:p w14:paraId="3E976A3F">
            <w:pPr>
              <w:pStyle w:val="48"/>
            </w:pPr>
            <w:r>
              <w:rPr>
                <w:rFonts w:hint="eastAsia"/>
              </w:rPr>
              <w:t>人数</w:t>
            </w:r>
          </w:p>
        </w:tc>
      </w:tr>
      <w:tr w14:paraId="331C73EB">
        <w:tblPrEx>
          <w:tblCellMar>
            <w:top w:w="15" w:type="dxa"/>
            <w:left w:w="15" w:type="dxa"/>
            <w:bottom w:w="15" w:type="dxa"/>
            <w:right w:w="15" w:type="dxa"/>
          </w:tblCellMar>
        </w:tblPrEx>
        <w:trPr>
          <w:trHeight w:val="332" w:hRule="atLeast"/>
          <w:jc w:val="center"/>
        </w:trPr>
        <w:tc>
          <w:tcPr>
            <w:tcW w:w="2218" w:type="dxa"/>
            <w:tcBorders>
              <w:top w:val="single" w:color="000000" w:sz="4" w:space="0"/>
              <w:left w:val="single" w:color="000000" w:sz="4" w:space="0"/>
              <w:bottom w:val="single" w:color="000000" w:sz="4" w:space="0"/>
              <w:right w:val="single" w:color="000000" w:sz="4" w:space="0"/>
            </w:tcBorders>
            <w:vAlign w:val="center"/>
          </w:tcPr>
          <w:p w14:paraId="41650B32">
            <w:pPr>
              <w:pStyle w:val="48"/>
            </w:pPr>
            <w:r>
              <w:rPr>
                <w:rFonts w:hint="eastAsia"/>
              </w:rPr>
              <w:t>城北社区</w:t>
            </w:r>
          </w:p>
        </w:tc>
        <w:tc>
          <w:tcPr>
            <w:tcW w:w="1880" w:type="dxa"/>
            <w:tcBorders>
              <w:top w:val="single" w:color="000000" w:sz="4" w:space="0"/>
              <w:left w:val="single" w:color="000000" w:sz="4" w:space="0"/>
              <w:bottom w:val="single" w:color="000000" w:sz="4" w:space="0"/>
              <w:right w:val="single" w:color="000000" w:sz="4" w:space="0"/>
            </w:tcBorders>
            <w:vAlign w:val="center"/>
          </w:tcPr>
          <w:p w14:paraId="0C7FB61D">
            <w:pPr>
              <w:pStyle w:val="48"/>
            </w:pPr>
            <w:r>
              <w:rPr>
                <w:rFonts w:hint="eastAsia"/>
              </w:rPr>
              <w:t>8199</w:t>
            </w:r>
          </w:p>
        </w:tc>
        <w:tc>
          <w:tcPr>
            <w:tcW w:w="2220" w:type="dxa"/>
            <w:tcBorders>
              <w:top w:val="single" w:color="000000" w:sz="4" w:space="0"/>
              <w:left w:val="single" w:color="000000" w:sz="4" w:space="0"/>
              <w:bottom w:val="single" w:color="000000" w:sz="4" w:space="0"/>
              <w:right w:val="single" w:color="000000" w:sz="4" w:space="0"/>
            </w:tcBorders>
            <w:vAlign w:val="center"/>
          </w:tcPr>
          <w:p w14:paraId="664B9C3F">
            <w:pPr>
              <w:pStyle w:val="48"/>
            </w:pPr>
            <w:r>
              <w:rPr>
                <w:rFonts w:hint="eastAsia"/>
              </w:rPr>
              <w:t>仕林苑社区</w:t>
            </w:r>
          </w:p>
        </w:tc>
        <w:tc>
          <w:tcPr>
            <w:tcW w:w="1879" w:type="dxa"/>
            <w:tcBorders>
              <w:top w:val="single" w:color="000000" w:sz="4" w:space="0"/>
              <w:left w:val="single" w:color="000000" w:sz="4" w:space="0"/>
              <w:bottom w:val="single" w:color="000000" w:sz="4" w:space="0"/>
              <w:right w:val="single" w:color="000000" w:sz="4" w:space="0"/>
            </w:tcBorders>
            <w:vAlign w:val="center"/>
          </w:tcPr>
          <w:p w14:paraId="0A42B47C">
            <w:pPr>
              <w:pStyle w:val="48"/>
            </w:pPr>
            <w:r>
              <w:rPr>
                <w:rFonts w:hint="eastAsia"/>
              </w:rPr>
              <w:t>1689</w:t>
            </w:r>
          </w:p>
        </w:tc>
      </w:tr>
      <w:tr w14:paraId="19449EC9">
        <w:tblPrEx>
          <w:tblCellMar>
            <w:top w:w="15" w:type="dxa"/>
            <w:left w:w="15" w:type="dxa"/>
            <w:bottom w:w="15" w:type="dxa"/>
            <w:right w:w="15" w:type="dxa"/>
          </w:tblCellMar>
        </w:tblPrEx>
        <w:trPr>
          <w:trHeight w:val="332" w:hRule="atLeast"/>
          <w:jc w:val="center"/>
        </w:trPr>
        <w:tc>
          <w:tcPr>
            <w:tcW w:w="2218" w:type="dxa"/>
            <w:tcBorders>
              <w:top w:val="single" w:color="000000" w:sz="4" w:space="0"/>
              <w:left w:val="single" w:color="000000" w:sz="4" w:space="0"/>
              <w:bottom w:val="single" w:color="000000" w:sz="4" w:space="0"/>
              <w:right w:val="single" w:color="000000" w:sz="4" w:space="0"/>
            </w:tcBorders>
            <w:vAlign w:val="center"/>
          </w:tcPr>
          <w:p w14:paraId="0C30E9FD">
            <w:pPr>
              <w:pStyle w:val="48"/>
            </w:pPr>
            <w:r>
              <w:rPr>
                <w:rFonts w:hint="eastAsia"/>
              </w:rPr>
              <w:t>城南社区</w:t>
            </w:r>
          </w:p>
        </w:tc>
        <w:tc>
          <w:tcPr>
            <w:tcW w:w="1880" w:type="dxa"/>
            <w:tcBorders>
              <w:top w:val="single" w:color="000000" w:sz="4" w:space="0"/>
              <w:left w:val="single" w:color="000000" w:sz="4" w:space="0"/>
              <w:bottom w:val="single" w:color="000000" w:sz="4" w:space="0"/>
              <w:right w:val="single" w:color="000000" w:sz="4" w:space="0"/>
            </w:tcBorders>
            <w:vAlign w:val="center"/>
          </w:tcPr>
          <w:p w14:paraId="5B73BEFF">
            <w:pPr>
              <w:pStyle w:val="48"/>
            </w:pPr>
            <w:r>
              <w:rPr>
                <w:rFonts w:hint="eastAsia"/>
              </w:rPr>
              <w:t>6569</w:t>
            </w:r>
          </w:p>
        </w:tc>
        <w:tc>
          <w:tcPr>
            <w:tcW w:w="2220" w:type="dxa"/>
            <w:tcBorders>
              <w:top w:val="single" w:color="000000" w:sz="4" w:space="0"/>
              <w:left w:val="single" w:color="000000" w:sz="4" w:space="0"/>
              <w:bottom w:val="single" w:color="000000" w:sz="4" w:space="0"/>
              <w:right w:val="single" w:color="000000" w:sz="4" w:space="0"/>
            </w:tcBorders>
            <w:vAlign w:val="center"/>
          </w:tcPr>
          <w:p w14:paraId="6A9DD33C">
            <w:pPr>
              <w:pStyle w:val="48"/>
            </w:pPr>
            <w:r>
              <w:rPr>
                <w:rFonts w:hint="eastAsia"/>
              </w:rPr>
              <w:t>仕图苑社区</w:t>
            </w:r>
          </w:p>
        </w:tc>
        <w:tc>
          <w:tcPr>
            <w:tcW w:w="1879" w:type="dxa"/>
            <w:tcBorders>
              <w:top w:val="single" w:color="000000" w:sz="4" w:space="0"/>
              <w:left w:val="single" w:color="000000" w:sz="4" w:space="0"/>
              <w:bottom w:val="single" w:color="000000" w:sz="4" w:space="0"/>
              <w:right w:val="single" w:color="000000" w:sz="4" w:space="0"/>
            </w:tcBorders>
            <w:vAlign w:val="center"/>
          </w:tcPr>
          <w:p w14:paraId="7866F333">
            <w:pPr>
              <w:pStyle w:val="48"/>
            </w:pPr>
            <w:r>
              <w:rPr>
                <w:rFonts w:hint="eastAsia"/>
              </w:rPr>
              <w:t>4014</w:t>
            </w:r>
          </w:p>
        </w:tc>
      </w:tr>
      <w:tr w14:paraId="40C16AEC">
        <w:tblPrEx>
          <w:tblCellMar>
            <w:top w:w="15" w:type="dxa"/>
            <w:left w:w="15" w:type="dxa"/>
            <w:bottom w:w="15" w:type="dxa"/>
            <w:right w:w="15" w:type="dxa"/>
          </w:tblCellMar>
        </w:tblPrEx>
        <w:trPr>
          <w:trHeight w:val="332" w:hRule="atLeast"/>
          <w:jc w:val="center"/>
        </w:trPr>
        <w:tc>
          <w:tcPr>
            <w:tcW w:w="2218" w:type="dxa"/>
            <w:tcBorders>
              <w:top w:val="single" w:color="000000" w:sz="4" w:space="0"/>
              <w:left w:val="single" w:color="000000" w:sz="4" w:space="0"/>
              <w:bottom w:val="single" w:color="000000" w:sz="4" w:space="0"/>
              <w:right w:val="single" w:color="000000" w:sz="4" w:space="0"/>
            </w:tcBorders>
            <w:vAlign w:val="center"/>
          </w:tcPr>
          <w:p w14:paraId="4C464E51">
            <w:pPr>
              <w:pStyle w:val="48"/>
            </w:pPr>
            <w:r>
              <w:rPr>
                <w:rFonts w:hint="eastAsia"/>
              </w:rPr>
              <w:t>城东社区</w:t>
            </w:r>
          </w:p>
        </w:tc>
        <w:tc>
          <w:tcPr>
            <w:tcW w:w="1880" w:type="dxa"/>
            <w:tcBorders>
              <w:top w:val="single" w:color="000000" w:sz="4" w:space="0"/>
              <w:left w:val="single" w:color="000000" w:sz="4" w:space="0"/>
              <w:bottom w:val="single" w:color="000000" w:sz="4" w:space="0"/>
              <w:right w:val="single" w:color="000000" w:sz="4" w:space="0"/>
            </w:tcBorders>
            <w:vAlign w:val="center"/>
          </w:tcPr>
          <w:p w14:paraId="2BA048A1">
            <w:pPr>
              <w:pStyle w:val="48"/>
            </w:pPr>
            <w:r>
              <w:rPr>
                <w:rFonts w:hint="eastAsia"/>
              </w:rPr>
              <w:t>6527</w:t>
            </w:r>
          </w:p>
        </w:tc>
        <w:tc>
          <w:tcPr>
            <w:tcW w:w="2220" w:type="dxa"/>
            <w:tcBorders>
              <w:top w:val="single" w:color="000000" w:sz="4" w:space="0"/>
              <w:left w:val="single" w:color="000000" w:sz="4" w:space="0"/>
              <w:bottom w:val="single" w:color="000000" w:sz="4" w:space="0"/>
              <w:right w:val="single" w:color="000000" w:sz="4" w:space="0"/>
            </w:tcBorders>
            <w:vAlign w:val="center"/>
          </w:tcPr>
          <w:p w14:paraId="75E6096B">
            <w:pPr>
              <w:pStyle w:val="48"/>
            </w:pPr>
            <w:r>
              <w:rPr>
                <w:rFonts w:hint="eastAsia"/>
              </w:rPr>
              <w:t>沙上头村</w:t>
            </w:r>
          </w:p>
        </w:tc>
        <w:tc>
          <w:tcPr>
            <w:tcW w:w="1879" w:type="dxa"/>
            <w:tcBorders>
              <w:top w:val="single" w:color="000000" w:sz="4" w:space="0"/>
              <w:left w:val="single" w:color="000000" w:sz="4" w:space="0"/>
              <w:bottom w:val="single" w:color="000000" w:sz="4" w:space="0"/>
              <w:right w:val="single" w:color="000000" w:sz="4" w:space="0"/>
            </w:tcBorders>
            <w:vAlign w:val="center"/>
          </w:tcPr>
          <w:p w14:paraId="20916928">
            <w:pPr>
              <w:pStyle w:val="48"/>
            </w:pPr>
            <w:r>
              <w:rPr>
                <w:rFonts w:hint="eastAsia"/>
              </w:rPr>
              <w:t>716</w:t>
            </w:r>
          </w:p>
        </w:tc>
      </w:tr>
      <w:tr w14:paraId="22BEC74B">
        <w:tblPrEx>
          <w:tblCellMar>
            <w:top w:w="15" w:type="dxa"/>
            <w:left w:w="15" w:type="dxa"/>
            <w:bottom w:w="15" w:type="dxa"/>
            <w:right w:w="15" w:type="dxa"/>
          </w:tblCellMar>
        </w:tblPrEx>
        <w:trPr>
          <w:trHeight w:val="332" w:hRule="atLeast"/>
          <w:jc w:val="center"/>
        </w:trPr>
        <w:tc>
          <w:tcPr>
            <w:tcW w:w="2218" w:type="dxa"/>
            <w:tcBorders>
              <w:top w:val="single" w:color="000000" w:sz="4" w:space="0"/>
              <w:left w:val="single" w:color="000000" w:sz="4" w:space="0"/>
              <w:bottom w:val="single" w:color="000000" w:sz="4" w:space="0"/>
              <w:right w:val="single" w:color="000000" w:sz="4" w:space="0"/>
            </w:tcBorders>
            <w:vAlign w:val="center"/>
          </w:tcPr>
          <w:p w14:paraId="6B132D57">
            <w:pPr>
              <w:pStyle w:val="48"/>
            </w:pPr>
            <w:r>
              <w:rPr>
                <w:rFonts w:hint="eastAsia"/>
              </w:rPr>
              <w:t>城西社区</w:t>
            </w:r>
          </w:p>
        </w:tc>
        <w:tc>
          <w:tcPr>
            <w:tcW w:w="1880" w:type="dxa"/>
            <w:tcBorders>
              <w:top w:val="single" w:color="000000" w:sz="4" w:space="0"/>
              <w:left w:val="single" w:color="000000" w:sz="4" w:space="0"/>
              <w:bottom w:val="single" w:color="000000" w:sz="4" w:space="0"/>
              <w:right w:val="single" w:color="000000" w:sz="4" w:space="0"/>
            </w:tcBorders>
            <w:vAlign w:val="center"/>
          </w:tcPr>
          <w:p w14:paraId="667EC88F">
            <w:pPr>
              <w:pStyle w:val="48"/>
            </w:pPr>
            <w:r>
              <w:rPr>
                <w:rFonts w:hint="eastAsia"/>
              </w:rPr>
              <w:t>3921</w:t>
            </w:r>
          </w:p>
        </w:tc>
        <w:tc>
          <w:tcPr>
            <w:tcW w:w="2220" w:type="dxa"/>
            <w:tcBorders>
              <w:top w:val="single" w:color="000000" w:sz="4" w:space="0"/>
              <w:left w:val="single" w:color="000000" w:sz="4" w:space="0"/>
              <w:bottom w:val="single" w:color="000000" w:sz="4" w:space="0"/>
              <w:right w:val="single" w:color="000000" w:sz="4" w:space="0"/>
            </w:tcBorders>
            <w:vAlign w:val="center"/>
          </w:tcPr>
          <w:p w14:paraId="7F739A95">
            <w:pPr>
              <w:pStyle w:val="48"/>
            </w:pPr>
            <w:r>
              <w:rPr>
                <w:rFonts w:hint="eastAsia"/>
              </w:rPr>
              <w:t>南坪村</w:t>
            </w:r>
          </w:p>
        </w:tc>
        <w:tc>
          <w:tcPr>
            <w:tcW w:w="1879" w:type="dxa"/>
            <w:tcBorders>
              <w:top w:val="single" w:color="000000" w:sz="4" w:space="0"/>
              <w:left w:val="single" w:color="000000" w:sz="4" w:space="0"/>
              <w:bottom w:val="single" w:color="000000" w:sz="4" w:space="0"/>
              <w:right w:val="single" w:color="000000" w:sz="4" w:space="0"/>
            </w:tcBorders>
            <w:vAlign w:val="center"/>
          </w:tcPr>
          <w:p w14:paraId="69A284FE">
            <w:pPr>
              <w:pStyle w:val="48"/>
            </w:pPr>
            <w:r>
              <w:rPr>
                <w:rFonts w:hint="eastAsia"/>
              </w:rPr>
              <w:t>204</w:t>
            </w:r>
          </w:p>
        </w:tc>
      </w:tr>
      <w:tr w14:paraId="237767EA">
        <w:tblPrEx>
          <w:tblCellMar>
            <w:top w:w="15" w:type="dxa"/>
            <w:left w:w="15" w:type="dxa"/>
            <w:bottom w:w="15" w:type="dxa"/>
            <w:right w:w="15" w:type="dxa"/>
          </w:tblCellMar>
        </w:tblPrEx>
        <w:trPr>
          <w:trHeight w:val="332" w:hRule="atLeast"/>
          <w:jc w:val="center"/>
        </w:trPr>
        <w:tc>
          <w:tcPr>
            <w:tcW w:w="2218" w:type="dxa"/>
            <w:tcBorders>
              <w:top w:val="single" w:color="000000" w:sz="4" w:space="0"/>
              <w:left w:val="single" w:color="000000" w:sz="4" w:space="0"/>
              <w:bottom w:val="single" w:color="000000" w:sz="4" w:space="0"/>
              <w:right w:val="single" w:color="000000" w:sz="4" w:space="0"/>
            </w:tcBorders>
            <w:vAlign w:val="center"/>
          </w:tcPr>
          <w:p w14:paraId="2C916CF6">
            <w:pPr>
              <w:pStyle w:val="48"/>
            </w:pPr>
            <w:r>
              <w:rPr>
                <w:rFonts w:hint="eastAsia"/>
              </w:rPr>
              <w:t>城内社区</w:t>
            </w:r>
          </w:p>
        </w:tc>
        <w:tc>
          <w:tcPr>
            <w:tcW w:w="1880" w:type="dxa"/>
            <w:tcBorders>
              <w:top w:val="single" w:color="000000" w:sz="4" w:space="0"/>
              <w:left w:val="single" w:color="000000" w:sz="4" w:space="0"/>
              <w:bottom w:val="single" w:color="000000" w:sz="4" w:space="0"/>
              <w:right w:val="single" w:color="000000" w:sz="4" w:space="0"/>
            </w:tcBorders>
            <w:vAlign w:val="center"/>
          </w:tcPr>
          <w:p w14:paraId="6BA7B526">
            <w:pPr>
              <w:pStyle w:val="48"/>
            </w:pPr>
            <w:r>
              <w:rPr>
                <w:rFonts w:hint="eastAsia"/>
              </w:rPr>
              <w:t>7703</w:t>
            </w:r>
          </w:p>
        </w:tc>
        <w:tc>
          <w:tcPr>
            <w:tcW w:w="2220" w:type="dxa"/>
            <w:tcBorders>
              <w:top w:val="single" w:color="000000" w:sz="4" w:space="0"/>
              <w:left w:val="single" w:color="000000" w:sz="4" w:space="0"/>
              <w:bottom w:val="single" w:color="000000" w:sz="4" w:space="0"/>
              <w:right w:val="single" w:color="000000" w:sz="4" w:space="0"/>
            </w:tcBorders>
            <w:vAlign w:val="center"/>
          </w:tcPr>
          <w:p w14:paraId="4BB7F6D8">
            <w:pPr>
              <w:pStyle w:val="48"/>
            </w:pPr>
            <w:r>
              <w:rPr>
                <w:rFonts w:hint="eastAsia"/>
              </w:rPr>
              <w:t>小召村</w:t>
            </w:r>
          </w:p>
        </w:tc>
        <w:tc>
          <w:tcPr>
            <w:tcW w:w="1879" w:type="dxa"/>
            <w:tcBorders>
              <w:top w:val="single" w:color="000000" w:sz="4" w:space="0"/>
              <w:left w:val="single" w:color="000000" w:sz="4" w:space="0"/>
              <w:bottom w:val="single" w:color="000000" w:sz="4" w:space="0"/>
              <w:right w:val="single" w:color="000000" w:sz="4" w:space="0"/>
            </w:tcBorders>
            <w:vAlign w:val="center"/>
          </w:tcPr>
          <w:p w14:paraId="0360ACC5">
            <w:pPr>
              <w:pStyle w:val="48"/>
            </w:pPr>
            <w:r>
              <w:rPr>
                <w:rFonts w:hint="eastAsia"/>
              </w:rPr>
              <w:t>2389</w:t>
            </w:r>
          </w:p>
        </w:tc>
      </w:tr>
    </w:tbl>
    <w:p w14:paraId="0F032316">
      <w:pPr>
        <w:pStyle w:val="39"/>
        <w:spacing w:line="580" w:lineRule="exact"/>
        <w:rPr>
          <w:rFonts w:ascii="宋体" w:hAnsi="宋体" w:eastAsia="宋体"/>
        </w:rPr>
      </w:pPr>
      <w:r>
        <w:rPr>
          <w:rFonts w:hint="eastAsia" w:ascii="宋体" w:hAnsi="宋体" w:eastAsia="宋体"/>
        </w:rPr>
        <w:t>从人口年龄结构来看，30-49周岁青壮年人口为22773人，占总人口的33.45%；61-99周岁人口为9566人，占总人口的14.05%；0-16岁青少年人口为11893人，占总人口的17.47%。</w:t>
      </w:r>
    </w:p>
    <w:p w14:paraId="4EC4AD55">
      <w:pPr>
        <w:pStyle w:val="39"/>
        <w:spacing w:line="580" w:lineRule="exact"/>
        <w:rPr>
          <w:rFonts w:ascii="宋体" w:hAnsi="宋体" w:eastAsia="宋体"/>
        </w:rPr>
      </w:pPr>
      <w:r>
        <w:rPr>
          <w:rFonts w:hint="eastAsia" w:ascii="宋体" w:hAnsi="宋体" w:eastAsia="宋体"/>
        </w:rPr>
        <w:t>根据陵川县统计年鉴，2016年陵川县城区总人口为67942人，自然增长率5.7‰。</w:t>
      </w:r>
    </w:p>
    <w:p w14:paraId="02AB6C73">
      <w:pPr>
        <w:pStyle w:val="39"/>
        <w:spacing w:line="580" w:lineRule="exact"/>
        <w:rPr>
          <w:rFonts w:ascii="宋体" w:hAnsi="宋体" w:eastAsia="宋体"/>
        </w:rPr>
      </w:pPr>
      <w:r>
        <w:rPr>
          <w:rFonts w:hint="eastAsia" w:ascii="宋体" w:hAnsi="宋体" w:eastAsia="宋体"/>
        </w:rPr>
        <w:t>根据2010年人口普查资料，陵川县城区人口为48341人。</w:t>
      </w:r>
    </w:p>
    <w:p w14:paraId="092180BA">
      <w:pPr>
        <w:pStyle w:val="39"/>
        <w:spacing w:line="580" w:lineRule="exact"/>
        <w:rPr>
          <w:rFonts w:ascii="宋体" w:hAnsi="宋体" w:eastAsia="宋体"/>
        </w:rPr>
      </w:pPr>
      <w:r>
        <w:rPr>
          <w:rFonts w:hint="eastAsia" w:ascii="宋体" w:hAnsi="宋体" w:eastAsia="宋体"/>
        </w:rPr>
        <w:t>综合各统计数据和县域人口综合指标，预测2017年城区人口为7.23万人。</w:t>
      </w:r>
    </w:p>
    <w:p w14:paraId="5A76F880">
      <w:pPr>
        <w:pStyle w:val="39"/>
        <w:spacing w:line="580" w:lineRule="exact"/>
        <w:rPr>
          <w:rFonts w:ascii="宋体" w:hAnsi="宋体" w:eastAsia="宋体"/>
        </w:rPr>
      </w:pPr>
      <w:r>
        <w:rPr>
          <w:rFonts w:hint="eastAsia" w:ascii="宋体" w:hAnsi="宋体" w:eastAsia="宋体"/>
        </w:rPr>
        <w:t>由以上资料可以看出，青壮年人口约占总人口的三分之一，该部分人口也是陵川县城发展的主要建设力量；60周岁以上人口已经超过总人口的10%，陵川县城区人口已呈现老龄化，因此针对老年人的生活、娱乐、照料等功能将成为规划需要解决的基础性问题。</w:t>
      </w:r>
    </w:p>
    <w:p w14:paraId="52F3D6AB">
      <w:pPr>
        <w:pStyle w:val="47"/>
        <w:spacing w:line="580" w:lineRule="exact"/>
      </w:pPr>
      <w:r>
        <w:rPr>
          <w:rFonts w:hint="eastAsia"/>
        </w:rPr>
        <w:t>(二)空间需求</w:t>
      </w:r>
    </w:p>
    <w:p w14:paraId="54450428">
      <w:pPr>
        <w:pStyle w:val="39"/>
        <w:spacing w:line="580" w:lineRule="exact"/>
        <w:rPr>
          <w:rFonts w:ascii="宋体" w:hAnsi="宋体" w:eastAsia="宋体"/>
        </w:rPr>
      </w:pPr>
      <w:r>
        <w:rPr>
          <w:rFonts w:hint="eastAsia" w:ascii="宋体" w:hAnsi="宋体" w:eastAsia="宋体"/>
        </w:rPr>
        <w:t>本次规划通过对城区人口的调研和分析，深入了解各类群体的空间需求，为本次控规提供数据支持。</w:t>
      </w:r>
    </w:p>
    <w:p w14:paraId="30F5F3E7">
      <w:pPr>
        <w:pStyle w:val="39"/>
        <w:spacing w:line="580" w:lineRule="exact"/>
        <w:rPr>
          <w:rFonts w:ascii="宋体" w:hAnsi="宋体" w:eastAsia="宋体"/>
        </w:rPr>
      </w:pPr>
      <w:r>
        <w:rPr>
          <w:rFonts w:hint="eastAsia" w:ascii="宋体" w:hAnsi="宋体" w:eastAsia="宋体"/>
        </w:rPr>
        <w:t>生活空间方面，陵川县城区的自然风貌具有典型的山地小城市特征，道路的通达性和便捷周到的社区服务，如中小学幼儿园、小超市、菜市场、社区医院、健身场地、人际交往场所等，需要控规在整体控制的基础上在社区层面得到解决。</w:t>
      </w:r>
    </w:p>
    <w:p w14:paraId="352C0941">
      <w:pPr>
        <w:pStyle w:val="39"/>
        <w:spacing w:line="580" w:lineRule="exact"/>
        <w:rPr>
          <w:rFonts w:ascii="宋体" w:hAnsi="宋体" w:eastAsia="宋体"/>
        </w:rPr>
      </w:pPr>
      <w:r>
        <w:rPr>
          <w:rFonts w:hint="eastAsia" w:ascii="宋体" w:hAnsi="宋体" w:eastAsia="宋体"/>
        </w:rPr>
        <w:t>生产空间方面，陵川县域有丰富的自然风光和历史、人文资源，陵川旅游产业已基本形成，并正在申报省级生态旅游开发区。陵川县城区作为全域旅游的一点，必须承担区域旅游服务接待的职能。因此，城区需提供宜人的绿化环境、多样的餐饮、休闲服务、较高级别的住宿、充足的停车设施、旅游服务接待等功能；同时，应考虑到城区作为旅游产品的生产基地、物资集散等职能，需提供相应的工业和仓储物流功能。</w:t>
      </w:r>
    </w:p>
    <w:p w14:paraId="12D49424">
      <w:pPr>
        <w:pStyle w:val="39"/>
        <w:spacing w:line="580" w:lineRule="exact"/>
        <w:rPr>
          <w:rFonts w:ascii="宋体" w:hAnsi="宋体" w:eastAsia="宋体"/>
        </w:rPr>
      </w:pPr>
      <w:r>
        <w:rPr>
          <w:rFonts w:hint="eastAsia" w:ascii="宋体" w:hAnsi="宋体" w:eastAsia="宋体"/>
        </w:rPr>
        <w:t>生态空间方面，陵川县生态环境良好，全县森林覆盖率52.07%，居全省第二。2016年，县城空气质量优良天数259天，2017年再次荣获全国百佳深呼吸小城榜，至此已连续四年荣获该称号。据陵川县住房保障和城乡建设管理局提供的统计数据，截至2016年底，陵川人均公园绿地9.84平方米。建成区绿地率为34.31%，建成区绿化覆盖率为39.16%。城区周边青山环抱，城区内结合地形绿地数值较高，结合陵川县创建园林城市的发展目标，未来城市建设应增加各类绿地的线性联系，从而构建城区完善的生态空间。</w:t>
      </w:r>
    </w:p>
    <w:p w14:paraId="11F5CEA7">
      <w:pPr>
        <w:pStyle w:val="38"/>
        <w:numPr>
          <w:ilvl w:val="0"/>
          <w:numId w:val="4"/>
        </w:numPr>
        <w:spacing w:before="0" w:beforeLines="0" w:after="0" w:afterLines="0" w:line="580" w:lineRule="exact"/>
        <w:rPr>
          <w:rFonts w:ascii="黑体" w:hAnsi="黑体"/>
          <w:b/>
        </w:rPr>
      </w:pPr>
      <w:bookmarkStart w:id="19" w:name="_Toc528317018"/>
      <w:r>
        <w:rPr>
          <w:rFonts w:hint="eastAsia" w:ascii="黑体" w:hAnsi="黑体"/>
          <w:b/>
        </w:rPr>
        <w:t>公共服务设施配置标准及规模</w:t>
      </w:r>
      <w:bookmarkEnd w:id="19"/>
    </w:p>
    <w:p w14:paraId="2D9C6EF8">
      <w:pPr>
        <w:pStyle w:val="47"/>
        <w:spacing w:line="580" w:lineRule="exact"/>
      </w:pPr>
      <w:r>
        <w:rPr>
          <w:rFonts w:hint="eastAsia"/>
        </w:rPr>
        <w:t>(一)配置原则</w:t>
      </w:r>
    </w:p>
    <w:p w14:paraId="10B31002">
      <w:pPr>
        <w:pStyle w:val="39"/>
        <w:spacing w:line="580" w:lineRule="exact"/>
        <w:rPr>
          <w:rFonts w:ascii="宋体" w:hAnsi="宋体" w:eastAsia="宋体"/>
        </w:rPr>
      </w:pPr>
      <w:r>
        <w:rPr>
          <w:rFonts w:hint="eastAsia" w:ascii="宋体" w:hAnsi="宋体" w:eastAsia="宋体"/>
        </w:rPr>
        <w:t>1、分级配置</w:t>
      </w:r>
    </w:p>
    <w:p w14:paraId="490AEA6C">
      <w:pPr>
        <w:pStyle w:val="39"/>
        <w:spacing w:line="580" w:lineRule="exact"/>
        <w:rPr>
          <w:rFonts w:ascii="宋体" w:hAnsi="宋体" w:eastAsia="宋体"/>
        </w:rPr>
      </w:pPr>
      <w:r>
        <w:rPr>
          <w:rFonts w:hint="eastAsia" w:ascii="宋体" w:hAnsi="宋体" w:eastAsia="宋体"/>
        </w:rPr>
        <w:t>落实总体规划确定的二级配置服务体系，同时将其进行深化，按照“城市级——社区级——邻里中心”的服务体系，配置各类公共服务设施，保证居民在合理半径内可以享受到相应的服务。</w:t>
      </w:r>
    </w:p>
    <w:p w14:paraId="0226C456">
      <w:pPr>
        <w:pStyle w:val="39"/>
        <w:spacing w:line="580" w:lineRule="exact"/>
        <w:rPr>
          <w:rFonts w:ascii="宋体" w:hAnsi="宋体" w:eastAsia="宋体"/>
        </w:rPr>
      </w:pPr>
      <w:r>
        <w:rPr>
          <w:rFonts w:hint="eastAsia" w:ascii="宋体" w:hAnsi="宋体" w:eastAsia="宋体"/>
        </w:rPr>
        <w:t>2、预留空间</w:t>
      </w:r>
    </w:p>
    <w:p w14:paraId="4DCF4A3A">
      <w:pPr>
        <w:pStyle w:val="39"/>
        <w:spacing w:line="580" w:lineRule="exact"/>
        <w:rPr>
          <w:rFonts w:ascii="宋体" w:hAnsi="宋体" w:eastAsia="宋体"/>
        </w:rPr>
      </w:pPr>
      <w:r>
        <w:rPr>
          <w:rFonts w:hint="eastAsia" w:ascii="宋体" w:hAnsi="宋体" w:eastAsia="宋体"/>
        </w:rPr>
        <w:t>考虑到城市发展的诸多不确定因素和山地形小城市对服务设施需求的特殊性，适度增加规划弹性，为未来发展预留空间。</w:t>
      </w:r>
    </w:p>
    <w:p w14:paraId="5AB9BA87">
      <w:pPr>
        <w:pStyle w:val="39"/>
        <w:spacing w:line="580" w:lineRule="exact"/>
        <w:rPr>
          <w:rFonts w:ascii="宋体" w:hAnsi="宋体" w:eastAsia="宋体"/>
        </w:rPr>
      </w:pPr>
      <w:r>
        <w:rPr>
          <w:rFonts w:hint="eastAsia" w:ascii="宋体" w:hAnsi="宋体" w:eastAsia="宋体"/>
        </w:rPr>
        <w:t>3、促进交往</w:t>
      </w:r>
    </w:p>
    <w:p w14:paraId="0E142864">
      <w:pPr>
        <w:pStyle w:val="39"/>
        <w:spacing w:line="580" w:lineRule="exact"/>
        <w:rPr>
          <w:rFonts w:ascii="宋体" w:hAnsi="宋体" w:eastAsia="宋体"/>
        </w:rPr>
      </w:pPr>
      <w:r>
        <w:rPr>
          <w:rFonts w:hint="eastAsia" w:ascii="宋体" w:hAnsi="宋体" w:eastAsia="宋体"/>
        </w:rPr>
        <w:t>适度增加土地使用兼容度，结合城区内各类绿地、社区中心、广场、城市道路等，打造居民交往和社区活力空间。</w:t>
      </w:r>
    </w:p>
    <w:p w14:paraId="6E76C32E">
      <w:pPr>
        <w:pStyle w:val="47"/>
        <w:spacing w:line="580" w:lineRule="exact"/>
      </w:pPr>
      <w:r>
        <w:rPr>
          <w:rFonts w:hint="eastAsia"/>
        </w:rPr>
        <w:t>(二)配置类型及规模</w:t>
      </w:r>
    </w:p>
    <w:p w14:paraId="2231D401">
      <w:pPr>
        <w:pStyle w:val="39"/>
        <w:spacing w:line="580" w:lineRule="exact"/>
        <w:rPr>
          <w:rFonts w:ascii="宋体" w:hAnsi="宋体" w:eastAsia="宋体"/>
        </w:rPr>
      </w:pPr>
      <w:r>
        <w:rPr>
          <w:rFonts w:hint="eastAsia" w:ascii="宋体" w:hAnsi="宋体" w:eastAsia="宋体"/>
        </w:rPr>
        <w:t>公共服务设施按照“城市级——社区级——邻里中心”三级分别设定配置标准。</w:t>
      </w:r>
    </w:p>
    <w:p w14:paraId="68684020">
      <w:pPr>
        <w:pStyle w:val="39"/>
        <w:spacing w:line="580" w:lineRule="exact"/>
        <w:rPr>
          <w:rFonts w:ascii="宋体" w:hAnsi="宋体" w:eastAsia="宋体"/>
        </w:rPr>
      </w:pPr>
      <w:r>
        <w:rPr>
          <w:rFonts w:hint="eastAsia" w:ascii="宋体" w:hAnsi="宋体" w:eastAsia="宋体"/>
        </w:rPr>
        <w:t>城市级公共服务设施用地指标按照国标人均7平方米进行计算，各类用地非配比例结合现状级发展趋势进行配置，主要配置城市级教育、文化、医疗等设施。社区级公共服务设施用地指标按照人均3平方米进行设置，主要包括社区文化活动、综合商业服务、社区级医疗卫生等设施。居住邻里单元公共服务设施建设指标按照400平方米/千人计算，主要配置儿童及老年人文化活动、社区服务、商业、商务等设施。其中，连理单元的体育用地单独设置，不计入邻里单元公共服务设施人均指标。</w:t>
      </w:r>
    </w:p>
    <w:p w14:paraId="1A84B99C">
      <w:pPr>
        <w:pStyle w:val="39"/>
        <w:spacing w:line="580" w:lineRule="exact"/>
        <w:ind w:firstLine="0" w:firstLineChars="0"/>
        <w:jc w:val="center"/>
        <w:rPr>
          <w:rFonts w:ascii="宋体" w:hAnsi="宋体" w:eastAsia="宋体"/>
          <w:b/>
        </w:rPr>
      </w:pPr>
      <w:r>
        <w:rPr>
          <w:rFonts w:hint="eastAsia" w:ascii="宋体" w:hAnsi="宋体" w:eastAsia="宋体"/>
          <w:b/>
        </w:rPr>
        <w:t>表</w:t>
      </w:r>
      <w:r>
        <w:rPr>
          <w:rFonts w:ascii="宋体" w:hAnsi="宋体" w:eastAsia="宋体"/>
          <w:b/>
        </w:rPr>
        <w:t xml:space="preserve">3  </w:t>
      </w:r>
      <w:r>
        <w:rPr>
          <w:rFonts w:hint="eastAsia" w:ascii="宋体" w:hAnsi="宋体" w:eastAsia="宋体"/>
          <w:b/>
        </w:rPr>
        <w:t>邻里单元公共服务设施配套标准一览表</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8"/>
        <w:gridCol w:w="4546"/>
      </w:tblGrid>
      <w:tr w14:paraId="16FC7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251A19DB">
            <w:pPr>
              <w:pStyle w:val="48"/>
            </w:pPr>
            <w:r>
              <w:rPr>
                <w:rFonts w:hint="eastAsia"/>
              </w:rPr>
              <w:t>设施类型</w:t>
            </w:r>
          </w:p>
        </w:tc>
        <w:tc>
          <w:tcPr>
            <w:tcW w:w="4822" w:type="dxa"/>
            <w:shd w:val="clear" w:color="auto" w:fill="auto"/>
            <w:vAlign w:val="center"/>
          </w:tcPr>
          <w:p w14:paraId="7D9D5765">
            <w:pPr>
              <w:pStyle w:val="48"/>
            </w:pPr>
            <w:r>
              <w:rPr>
                <w:rFonts w:hint="eastAsia"/>
              </w:rPr>
              <w:t>建筑面积</w:t>
            </w:r>
          </w:p>
        </w:tc>
      </w:tr>
      <w:tr w14:paraId="282D9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2BFF1291">
            <w:pPr>
              <w:pStyle w:val="48"/>
            </w:pPr>
            <w:r>
              <w:rPr>
                <w:rFonts w:hint="eastAsia"/>
              </w:rPr>
              <w:t>行政办公</w:t>
            </w:r>
          </w:p>
        </w:tc>
        <w:tc>
          <w:tcPr>
            <w:tcW w:w="4822" w:type="dxa"/>
            <w:shd w:val="clear" w:color="auto" w:fill="auto"/>
            <w:vAlign w:val="center"/>
          </w:tcPr>
          <w:p w14:paraId="176E582D">
            <w:pPr>
              <w:pStyle w:val="48"/>
            </w:pPr>
            <w:r>
              <w:rPr>
                <w:rFonts w:hint="eastAsia"/>
              </w:rPr>
              <w:t>15平方米/千人</w:t>
            </w:r>
          </w:p>
        </w:tc>
      </w:tr>
      <w:tr w14:paraId="1B32A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5FBBB153">
            <w:pPr>
              <w:pStyle w:val="48"/>
            </w:pPr>
            <w:r>
              <w:rPr>
                <w:rFonts w:hint="eastAsia"/>
              </w:rPr>
              <w:t>文化设施</w:t>
            </w:r>
          </w:p>
        </w:tc>
        <w:tc>
          <w:tcPr>
            <w:tcW w:w="4822" w:type="dxa"/>
            <w:shd w:val="clear" w:color="auto" w:fill="auto"/>
            <w:vAlign w:val="center"/>
          </w:tcPr>
          <w:p w14:paraId="3B1B0B74">
            <w:pPr>
              <w:pStyle w:val="48"/>
            </w:pPr>
            <w:r>
              <w:rPr>
                <w:rFonts w:hint="eastAsia"/>
              </w:rPr>
              <w:t>10平方米/千人</w:t>
            </w:r>
          </w:p>
        </w:tc>
      </w:tr>
      <w:tr w14:paraId="1CAC9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4D68AFDA">
            <w:pPr>
              <w:pStyle w:val="48"/>
            </w:pPr>
            <w:r>
              <w:rPr>
                <w:rFonts w:hint="eastAsia"/>
              </w:rPr>
              <w:t>医疗卫生</w:t>
            </w:r>
          </w:p>
        </w:tc>
        <w:tc>
          <w:tcPr>
            <w:tcW w:w="4822" w:type="dxa"/>
            <w:shd w:val="clear" w:color="auto" w:fill="auto"/>
            <w:vAlign w:val="center"/>
          </w:tcPr>
          <w:p w14:paraId="195713C8">
            <w:pPr>
              <w:pStyle w:val="48"/>
            </w:pPr>
            <w:r>
              <w:rPr>
                <w:rFonts w:hint="eastAsia"/>
              </w:rPr>
              <w:t>20平方米/千人</w:t>
            </w:r>
          </w:p>
        </w:tc>
      </w:tr>
      <w:tr w14:paraId="7EB63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4CB05308">
            <w:pPr>
              <w:pStyle w:val="48"/>
            </w:pPr>
            <w:r>
              <w:rPr>
                <w:rFonts w:hint="eastAsia"/>
              </w:rPr>
              <w:t>社会福利</w:t>
            </w:r>
          </w:p>
        </w:tc>
        <w:tc>
          <w:tcPr>
            <w:tcW w:w="4822" w:type="dxa"/>
            <w:shd w:val="clear" w:color="auto" w:fill="auto"/>
            <w:vAlign w:val="center"/>
          </w:tcPr>
          <w:p w14:paraId="5E40BD95">
            <w:pPr>
              <w:pStyle w:val="48"/>
            </w:pPr>
            <w:r>
              <w:rPr>
                <w:rFonts w:hint="eastAsia"/>
              </w:rPr>
              <w:t>10平方米/千人</w:t>
            </w:r>
          </w:p>
        </w:tc>
      </w:tr>
      <w:tr w14:paraId="1C2FB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5D592226">
            <w:pPr>
              <w:pStyle w:val="48"/>
            </w:pPr>
            <w:r>
              <w:rPr>
                <w:rFonts w:hint="eastAsia"/>
              </w:rPr>
              <w:t>社区服务</w:t>
            </w:r>
          </w:p>
        </w:tc>
        <w:tc>
          <w:tcPr>
            <w:tcW w:w="4822" w:type="dxa"/>
            <w:shd w:val="clear" w:color="auto" w:fill="auto"/>
            <w:vAlign w:val="center"/>
          </w:tcPr>
          <w:p w14:paraId="6E82D921">
            <w:pPr>
              <w:pStyle w:val="48"/>
            </w:pPr>
            <w:r>
              <w:rPr>
                <w:rFonts w:hint="eastAsia"/>
              </w:rPr>
              <w:t>15平方米/千人</w:t>
            </w:r>
          </w:p>
        </w:tc>
      </w:tr>
      <w:tr w14:paraId="1C22F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3B92D7D3">
            <w:pPr>
              <w:pStyle w:val="48"/>
            </w:pPr>
            <w:r>
              <w:rPr>
                <w:rFonts w:hint="eastAsia"/>
              </w:rPr>
              <w:t>商业设施</w:t>
            </w:r>
          </w:p>
        </w:tc>
        <w:tc>
          <w:tcPr>
            <w:tcW w:w="4822" w:type="dxa"/>
            <w:shd w:val="clear" w:color="auto" w:fill="auto"/>
            <w:vAlign w:val="center"/>
          </w:tcPr>
          <w:p w14:paraId="089B82A9">
            <w:pPr>
              <w:pStyle w:val="48"/>
            </w:pPr>
            <w:r>
              <w:rPr>
                <w:rFonts w:hint="eastAsia"/>
              </w:rPr>
              <w:t>200平方米/千人</w:t>
            </w:r>
          </w:p>
        </w:tc>
      </w:tr>
      <w:tr w14:paraId="37F79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1C1862AB">
            <w:pPr>
              <w:pStyle w:val="48"/>
            </w:pPr>
            <w:r>
              <w:rPr>
                <w:rFonts w:hint="eastAsia"/>
              </w:rPr>
              <w:t>商务设施</w:t>
            </w:r>
          </w:p>
        </w:tc>
        <w:tc>
          <w:tcPr>
            <w:tcW w:w="4822" w:type="dxa"/>
            <w:shd w:val="clear" w:color="auto" w:fill="auto"/>
            <w:vAlign w:val="center"/>
          </w:tcPr>
          <w:p w14:paraId="6479BACD">
            <w:pPr>
              <w:pStyle w:val="48"/>
            </w:pPr>
            <w:r>
              <w:rPr>
                <w:rFonts w:hint="eastAsia"/>
              </w:rPr>
              <w:t>120平方米/千人</w:t>
            </w:r>
          </w:p>
        </w:tc>
      </w:tr>
      <w:tr w14:paraId="2D762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2F1EDB16">
            <w:pPr>
              <w:pStyle w:val="48"/>
            </w:pPr>
            <w:r>
              <w:rPr>
                <w:rFonts w:hint="eastAsia"/>
              </w:rPr>
              <w:t>市政公用设施</w:t>
            </w:r>
          </w:p>
        </w:tc>
        <w:tc>
          <w:tcPr>
            <w:tcW w:w="4822" w:type="dxa"/>
            <w:shd w:val="clear" w:color="auto" w:fill="auto"/>
            <w:vAlign w:val="center"/>
          </w:tcPr>
          <w:p w14:paraId="3AA3F874">
            <w:pPr>
              <w:pStyle w:val="48"/>
            </w:pPr>
            <w:r>
              <w:rPr>
                <w:rFonts w:hint="eastAsia"/>
              </w:rPr>
              <w:t>10平方米/千人</w:t>
            </w:r>
          </w:p>
        </w:tc>
      </w:tr>
      <w:tr w14:paraId="1F7E0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4821" w:type="dxa"/>
            <w:shd w:val="clear" w:color="auto" w:fill="auto"/>
            <w:vAlign w:val="center"/>
          </w:tcPr>
          <w:p w14:paraId="5B20FB69">
            <w:pPr>
              <w:pStyle w:val="48"/>
            </w:pPr>
            <w:r>
              <w:rPr>
                <w:rFonts w:hint="eastAsia"/>
              </w:rPr>
              <w:t>合计</w:t>
            </w:r>
          </w:p>
        </w:tc>
        <w:tc>
          <w:tcPr>
            <w:tcW w:w="4822" w:type="dxa"/>
            <w:shd w:val="clear" w:color="auto" w:fill="auto"/>
            <w:vAlign w:val="center"/>
          </w:tcPr>
          <w:p w14:paraId="110C55AD">
            <w:pPr>
              <w:pStyle w:val="48"/>
            </w:pPr>
            <w:r>
              <w:rPr>
                <w:rFonts w:hint="eastAsia"/>
              </w:rPr>
              <w:t>400平方米/千人</w:t>
            </w:r>
          </w:p>
        </w:tc>
      </w:tr>
    </w:tbl>
    <w:p w14:paraId="35E3DFAF">
      <w:pPr>
        <w:pStyle w:val="38"/>
        <w:numPr>
          <w:ilvl w:val="0"/>
          <w:numId w:val="4"/>
        </w:numPr>
        <w:spacing w:before="0" w:beforeLines="0" w:after="0" w:afterLines="0" w:line="580" w:lineRule="exact"/>
        <w:rPr>
          <w:rFonts w:ascii="黑体" w:hAnsi="黑体"/>
          <w:b/>
        </w:rPr>
      </w:pPr>
      <w:bookmarkStart w:id="20" w:name="_Toc528317019"/>
      <w:r>
        <w:rPr>
          <w:rFonts w:hint="eastAsia" w:ascii="黑体" w:hAnsi="黑体"/>
          <w:b/>
        </w:rPr>
        <w:t>总建筑量预测</w:t>
      </w:r>
      <w:bookmarkEnd w:id="20"/>
    </w:p>
    <w:p w14:paraId="37EEFF7E">
      <w:pPr>
        <w:pStyle w:val="39"/>
        <w:spacing w:line="580" w:lineRule="exact"/>
        <w:rPr>
          <w:rFonts w:ascii="宋体" w:hAnsi="宋体" w:eastAsia="宋体"/>
        </w:rPr>
      </w:pPr>
      <w:r>
        <w:rPr>
          <w:rFonts w:hint="eastAsia" w:ascii="宋体" w:hAnsi="宋体" w:eastAsia="宋体"/>
        </w:rPr>
        <w:t>根据居住人口和主导产业的发展方向，综合预测各类用地的建设量，同时综合分析各分区不同的功能设定，确定各分区的建设强度。其中，居住建筑面积约为600-650万平方米；公共服务设施用地面积约6-10平方米/人，建筑开发面积约144.5万平方米；各类商业服务设施用地面积约9-12平方米/人，建筑开发面积约为213.4万平方米。</w:t>
      </w:r>
    </w:p>
    <w:p w14:paraId="468C1747">
      <w:pPr>
        <w:pStyle w:val="39"/>
        <w:spacing w:line="580" w:lineRule="exact"/>
        <w:rPr>
          <w:rFonts w:ascii="宋体" w:hAnsi="宋体" w:eastAsia="宋体"/>
        </w:rPr>
      </w:pPr>
      <w:r>
        <w:rPr>
          <w:rFonts w:hint="eastAsia" w:ascii="宋体" w:hAnsi="宋体" w:eastAsia="宋体"/>
        </w:rPr>
        <w:t>现状城区建设用地744.04公顷，规划城区建设用地1045.76公顷，新增建设用地299.69公顷，北部多为居住建筑、南部多为公共建筑。现状居住建筑多为低层，开发强度多在0.5-1.0之间；公共建筑多为多层，开发强度在1.5-2.0之间。</w:t>
      </w:r>
    </w:p>
    <w:p w14:paraId="605AEF1A">
      <w:pPr>
        <w:pStyle w:val="39"/>
        <w:spacing w:line="580" w:lineRule="exact"/>
        <w:ind w:firstLine="0" w:firstLineChars="0"/>
        <w:jc w:val="center"/>
        <w:rPr>
          <w:rFonts w:ascii="宋体" w:hAnsi="宋体" w:eastAsia="宋体"/>
          <w:b/>
        </w:rPr>
      </w:pPr>
    </w:p>
    <w:p w14:paraId="68C2B983">
      <w:pPr>
        <w:pStyle w:val="39"/>
        <w:spacing w:line="580" w:lineRule="exact"/>
        <w:ind w:firstLine="0" w:firstLineChars="0"/>
        <w:jc w:val="center"/>
        <w:rPr>
          <w:rFonts w:ascii="宋体" w:hAnsi="宋体" w:eastAsia="宋体"/>
          <w:b/>
        </w:rPr>
      </w:pPr>
      <w:r>
        <w:rPr>
          <w:rFonts w:hint="eastAsia" w:ascii="宋体" w:hAnsi="宋体" w:eastAsia="宋体"/>
          <w:b/>
        </w:rPr>
        <w:t>表</w:t>
      </w:r>
      <w:r>
        <w:rPr>
          <w:rFonts w:ascii="宋体" w:hAnsi="宋体" w:eastAsia="宋体"/>
          <w:b/>
        </w:rPr>
        <w:t>4</w:t>
      </w:r>
      <w:r>
        <w:rPr>
          <w:rFonts w:hint="eastAsia" w:ascii="宋体" w:hAnsi="宋体" w:eastAsia="宋体"/>
          <w:b/>
        </w:rPr>
        <w:t xml:space="preserve"> 开发总量预测</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71"/>
        <w:gridCol w:w="2271"/>
        <w:gridCol w:w="2271"/>
        <w:gridCol w:w="2271"/>
      </w:tblGrid>
      <w:tr w14:paraId="7AB2F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9" w:hRule="atLeast"/>
        </w:trPr>
        <w:tc>
          <w:tcPr>
            <w:tcW w:w="2271" w:type="dxa"/>
            <w:shd w:val="clear" w:color="auto" w:fill="auto"/>
            <w:vAlign w:val="center"/>
          </w:tcPr>
          <w:p w14:paraId="0B43BB13">
            <w:pPr>
              <w:pStyle w:val="48"/>
            </w:pPr>
          </w:p>
        </w:tc>
        <w:tc>
          <w:tcPr>
            <w:tcW w:w="2271" w:type="dxa"/>
            <w:shd w:val="clear" w:color="auto" w:fill="auto"/>
            <w:vAlign w:val="center"/>
          </w:tcPr>
          <w:p w14:paraId="6E6C291A">
            <w:pPr>
              <w:pStyle w:val="48"/>
            </w:pPr>
            <w:r>
              <w:t>用地面积</w:t>
            </w:r>
            <w:r>
              <w:rPr>
                <w:rFonts w:hint="eastAsia"/>
              </w:rPr>
              <w:t>（公顷）</w:t>
            </w:r>
          </w:p>
        </w:tc>
        <w:tc>
          <w:tcPr>
            <w:tcW w:w="2271" w:type="dxa"/>
            <w:shd w:val="clear" w:color="auto" w:fill="auto"/>
            <w:vAlign w:val="center"/>
          </w:tcPr>
          <w:p w14:paraId="008F2D5E">
            <w:pPr>
              <w:pStyle w:val="48"/>
            </w:pPr>
            <w:r>
              <w:t>建筑面积</w:t>
            </w:r>
            <w:r>
              <w:rPr>
                <w:rFonts w:hint="eastAsia"/>
              </w:rPr>
              <w:t>（万平方米）</w:t>
            </w:r>
          </w:p>
        </w:tc>
        <w:tc>
          <w:tcPr>
            <w:tcW w:w="2271" w:type="dxa"/>
            <w:shd w:val="clear" w:color="auto" w:fill="auto"/>
            <w:vAlign w:val="center"/>
          </w:tcPr>
          <w:p w14:paraId="71D9775F">
            <w:pPr>
              <w:pStyle w:val="48"/>
            </w:pPr>
            <w:r>
              <w:t>开发强度</w:t>
            </w:r>
            <w:r>
              <w:rPr>
                <w:rFonts w:hint="eastAsia"/>
              </w:rPr>
              <w:t>（万平方米/平方公里）</w:t>
            </w:r>
          </w:p>
        </w:tc>
      </w:tr>
      <w:tr w14:paraId="006CC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2271" w:type="dxa"/>
            <w:shd w:val="clear" w:color="auto" w:fill="auto"/>
            <w:vAlign w:val="center"/>
          </w:tcPr>
          <w:p w14:paraId="0EA3916F">
            <w:pPr>
              <w:pStyle w:val="48"/>
            </w:pPr>
            <w:r>
              <w:t>教育科研片区</w:t>
            </w:r>
          </w:p>
        </w:tc>
        <w:tc>
          <w:tcPr>
            <w:tcW w:w="2271" w:type="dxa"/>
            <w:shd w:val="clear" w:color="auto" w:fill="auto"/>
            <w:vAlign w:val="center"/>
          </w:tcPr>
          <w:p w14:paraId="51917143">
            <w:pPr>
              <w:pStyle w:val="48"/>
            </w:pPr>
            <w:r>
              <w:rPr>
                <w:rFonts w:hint="eastAsia"/>
              </w:rPr>
              <w:t>337</w:t>
            </w:r>
          </w:p>
        </w:tc>
        <w:tc>
          <w:tcPr>
            <w:tcW w:w="2271" w:type="dxa"/>
            <w:shd w:val="clear" w:color="auto" w:fill="auto"/>
            <w:vAlign w:val="center"/>
          </w:tcPr>
          <w:p w14:paraId="26E47923">
            <w:pPr>
              <w:pStyle w:val="48"/>
            </w:pPr>
            <w:r>
              <w:rPr>
                <w:rFonts w:hint="eastAsia"/>
              </w:rPr>
              <w:t>454</w:t>
            </w:r>
          </w:p>
        </w:tc>
        <w:tc>
          <w:tcPr>
            <w:tcW w:w="2271" w:type="dxa"/>
            <w:shd w:val="clear" w:color="auto" w:fill="auto"/>
            <w:vAlign w:val="center"/>
          </w:tcPr>
          <w:p w14:paraId="2614B328">
            <w:pPr>
              <w:pStyle w:val="48"/>
            </w:pPr>
            <w:r>
              <w:rPr>
                <w:rFonts w:hint="eastAsia"/>
              </w:rPr>
              <w:t>134</w:t>
            </w:r>
          </w:p>
        </w:tc>
      </w:tr>
      <w:tr w14:paraId="5866E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2271" w:type="dxa"/>
            <w:shd w:val="clear" w:color="auto" w:fill="auto"/>
            <w:vAlign w:val="center"/>
          </w:tcPr>
          <w:p w14:paraId="67AA6704">
            <w:pPr>
              <w:pStyle w:val="48"/>
            </w:pPr>
            <w:r>
              <w:t>老城综合片区</w:t>
            </w:r>
          </w:p>
        </w:tc>
        <w:tc>
          <w:tcPr>
            <w:tcW w:w="2271" w:type="dxa"/>
            <w:shd w:val="clear" w:color="auto" w:fill="auto"/>
            <w:vAlign w:val="center"/>
          </w:tcPr>
          <w:p w14:paraId="1DD8C5D6">
            <w:pPr>
              <w:pStyle w:val="48"/>
            </w:pPr>
            <w:r>
              <w:rPr>
                <w:rFonts w:hint="eastAsia"/>
              </w:rPr>
              <w:t>296</w:t>
            </w:r>
          </w:p>
        </w:tc>
        <w:tc>
          <w:tcPr>
            <w:tcW w:w="2271" w:type="dxa"/>
            <w:shd w:val="clear" w:color="auto" w:fill="auto"/>
            <w:vAlign w:val="center"/>
          </w:tcPr>
          <w:p w14:paraId="43955496">
            <w:pPr>
              <w:pStyle w:val="48"/>
            </w:pPr>
            <w:r>
              <w:rPr>
                <w:rFonts w:hint="eastAsia"/>
              </w:rPr>
              <w:t>384</w:t>
            </w:r>
          </w:p>
        </w:tc>
        <w:tc>
          <w:tcPr>
            <w:tcW w:w="2271" w:type="dxa"/>
            <w:shd w:val="clear" w:color="auto" w:fill="auto"/>
            <w:vAlign w:val="center"/>
          </w:tcPr>
          <w:p w14:paraId="6CDA2315">
            <w:pPr>
              <w:pStyle w:val="48"/>
            </w:pPr>
            <w:r>
              <w:rPr>
                <w:rFonts w:hint="eastAsia"/>
              </w:rPr>
              <w:t>129</w:t>
            </w:r>
          </w:p>
        </w:tc>
      </w:tr>
      <w:tr w14:paraId="38CE8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2271" w:type="dxa"/>
            <w:shd w:val="clear" w:color="auto" w:fill="auto"/>
            <w:vAlign w:val="center"/>
          </w:tcPr>
          <w:p w14:paraId="702CAF29">
            <w:pPr>
              <w:pStyle w:val="48"/>
            </w:pPr>
            <w:r>
              <w:t>文化服务片区</w:t>
            </w:r>
          </w:p>
        </w:tc>
        <w:tc>
          <w:tcPr>
            <w:tcW w:w="2271" w:type="dxa"/>
            <w:shd w:val="clear" w:color="auto" w:fill="auto"/>
            <w:vAlign w:val="center"/>
          </w:tcPr>
          <w:p w14:paraId="23647CCA">
            <w:pPr>
              <w:pStyle w:val="48"/>
            </w:pPr>
            <w:r>
              <w:rPr>
                <w:rFonts w:hint="eastAsia"/>
              </w:rPr>
              <w:t>205</w:t>
            </w:r>
          </w:p>
        </w:tc>
        <w:tc>
          <w:tcPr>
            <w:tcW w:w="2271" w:type="dxa"/>
            <w:shd w:val="clear" w:color="auto" w:fill="auto"/>
            <w:vAlign w:val="center"/>
          </w:tcPr>
          <w:p w14:paraId="1633E150">
            <w:pPr>
              <w:pStyle w:val="48"/>
            </w:pPr>
            <w:r>
              <w:rPr>
                <w:rFonts w:hint="eastAsia"/>
              </w:rPr>
              <w:t>220</w:t>
            </w:r>
          </w:p>
        </w:tc>
        <w:tc>
          <w:tcPr>
            <w:tcW w:w="2271" w:type="dxa"/>
            <w:shd w:val="clear" w:color="auto" w:fill="auto"/>
            <w:vAlign w:val="center"/>
          </w:tcPr>
          <w:p w14:paraId="6D4AD258">
            <w:pPr>
              <w:pStyle w:val="48"/>
            </w:pPr>
            <w:r>
              <w:rPr>
                <w:rFonts w:hint="eastAsia"/>
              </w:rPr>
              <w:t>107</w:t>
            </w:r>
          </w:p>
        </w:tc>
      </w:tr>
      <w:tr w14:paraId="4DB9F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2271" w:type="dxa"/>
            <w:shd w:val="clear" w:color="auto" w:fill="auto"/>
            <w:vAlign w:val="center"/>
          </w:tcPr>
          <w:p w14:paraId="13B36466">
            <w:pPr>
              <w:pStyle w:val="48"/>
            </w:pPr>
            <w:r>
              <w:t>合计</w:t>
            </w:r>
          </w:p>
        </w:tc>
        <w:tc>
          <w:tcPr>
            <w:tcW w:w="2271" w:type="dxa"/>
            <w:shd w:val="clear" w:color="auto" w:fill="auto"/>
            <w:vAlign w:val="center"/>
          </w:tcPr>
          <w:p w14:paraId="384CF14A">
            <w:pPr>
              <w:pStyle w:val="48"/>
            </w:pPr>
            <w:r>
              <w:t>838</w:t>
            </w:r>
          </w:p>
        </w:tc>
        <w:tc>
          <w:tcPr>
            <w:tcW w:w="2271" w:type="dxa"/>
            <w:shd w:val="clear" w:color="auto" w:fill="auto"/>
            <w:vAlign w:val="center"/>
          </w:tcPr>
          <w:p w14:paraId="5AA1C3FD">
            <w:pPr>
              <w:pStyle w:val="48"/>
            </w:pPr>
            <w:r>
              <w:t>1058</w:t>
            </w:r>
          </w:p>
        </w:tc>
        <w:tc>
          <w:tcPr>
            <w:tcW w:w="2271" w:type="dxa"/>
            <w:shd w:val="clear" w:color="auto" w:fill="auto"/>
            <w:vAlign w:val="center"/>
          </w:tcPr>
          <w:p w14:paraId="5CE40077">
            <w:pPr>
              <w:pStyle w:val="48"/>
            </w:pPr>
            <w:r>
              <w:rPr>
                <w:rFonts w:hint="eastAsia"/>
              </w:rPr>
              <w:t>126</w:t>
            </w:r>
          </w:p>
        </w:tc>
      </w:tr>
    </w:tbl>
    <w:p w14:paraId="332DCA44">
      <w:pPr>
        <w:pStyle w:val="39"/>
        <w:spacing w:line="580" w:lineRule="exact"/>
        <w:rPr>
          <w:rFonts w:ascii="宋体" w:hAnsi="宋体" w:eastAsia="宋体"/>
        </w:rPr>
      </w:pPr>
    </w:p>
    <w:p w14:paraId="0B241C81">
      <w:pPr>
        <w:pStyle w:val="39"/>
        <w:spacing w:line="580" w:lineRule="exact"/>
        <w:rPr>
          <w:rFonts w:ascii="宋体" w:hAnsi="宋体" w:eastAsia="宋体"/>
        </w:rPr>
      </w:pPr>
    </w:p>
    <w:p w14:paraId="290969AF">
      <w:pPr>
        <w:pStyle w:val="39"/>
        <w:spacing w:line="580" w:lineRule="exact"/>
        <w:rPr>
          <w:rFonts w:ascii="宋体" w:hAnsi="宋体" w:eastAsia="宋体"/>
        </w:rPr>
      </w:pPr>
    </w:p>
    <w:p w14:paraId="5155CB90">
      <w:pPr>
        <w:pStyle w:val="39"/>
        <w:spacing w:line="580" w:lineRule="exact"/>
        <w:rPr>
          <w:rFonts w:ascii="宋体" w:hAnsi="宋体" w:eastAsia="宋体"/>
        </w:rPr>
      </w:pPr>
    </w:p>
    <w:p w14:paraId="0C2F1C51">
      <w:pPr>
        <w:pStyle w:val="39"/>
        <w:spacing w:line="580" w:lineRule="exact"/>
        <w:rPr>
          <w:rFonts w:ascii="宋体" w:hAnsi="宋体" w:eastAsia="宋体"/>
        </w:rPr>
      </w:pPr>
    </w:p>
    <w:p w14:paraId="4ECB13DE">
      <w:pPr>
        <w:pStyle w:val="2"/>
        <w:spacing w:before="0" w:after="0" w:line="580" w:lineRule="exact"/>
        <w:jc w:val="center"/>
        <w:rPr>
          <w:rFonts w:ascii="黑体" w:hAnsi="黑体" w:eastAsia="黑体"/>
          <w:sz w:val="36"/>
          <w:szCs w:val="36"/>
        </w:rPr>
      </w:pPr>
      <w:r>
        <w:rPr>
          <w:rFonts w:ascii="黑体" w:hAnsi="黑体"/>
          <w:bCs w:val="0"/>
          <w:sz w:val="36"/>
          <w:szCs w:val="36"/>
        </w:rPr>
        <w:br w:type="page"/>
      </w:r>
      <w:bookmarkStart w:id="21" w:name="_Toc528317020"/>
      <w:r>
        <w:rPr>
          <w:rFonts w:hint="eastAsia" w:ascii="黑体" w:hAnsi="黑体"/>
          <w:bCs w:val="0"/>
          <w:sz w:val="36"/>
          <w:szCs w:val="36"/>
        </w:rPr>
        <w:t xml:space="preserve">第四章  </w:t>
      </w:r>
      <w:r>
        <w:rPr>
          <w:rFonts w:hint="eastAsia" w:ascii="黑体" w:hAnsi="黑体" w:eastAsia="黑体"/>
          <w:sz w:val="36"/>
          <w:szCs w:val="36"/>
        </w:rPr>
        <w:t>用地布局规划</w:t>
      </w:r>
      <w:bookmarkEnd w:id="21"/>
    </w:p>
    <w:p w14:paraId="6DA2C4BD">
      <w:pPr>
        <w:pStyle w:val="39"/>
        <w:spacing w:line="580" w:lineRule="exact"/>
        <w:rPr>
          <w:rFonts w:ascii="宋体" w:hAnsi="宋体" w:eastAsia="宋体"/>
        </w:rPr>
      </w:pPr>
    </w:p>
    <w:p w14:paraId="6C5EBBBC">
      <w:pPr>
        <w:pStyle w:val="39"/>
        <w:spacing w:line="580" w:lineRule="exact"/>
        <w:rPr>
          <w:rFonts w:ascii="宋体" w:hAnsi="宋体" w:eastAsia="宋体"/>
        </w:rPr>
      </w:pPr>
      <w:r>
        <w:rPr>
          <w:rFonts w:hint="eastAsia" w:ascii="宋体" w:hAnsi="宋体" w:eastAsia="宋体"/>
        </w:rPr>
        <w:t>陵川县</w:t>
      </w:r>
      <w:r>
        <w:rPr>
          <w:rFonts w:ascii="宋体" w:hAnsi="宋体" w:eastAsia="宋体"/>
        </w:rPr>
        <w:t>地处太行山脉南端</w:t>
      </w:r>
      <w:r>
        <w:rPr>
          <w:rFonts w:hint="eastAsia" w:ascii="宋体" w:hAnsi="宋体" w:eastAsia="宋体"/>
        </w:rPr>
        <w:t>，境内中低山区占国土面积的43.6%，丘陵区占总面积的47.4%，河谷平川区占总面积的9.0%；陵川县县城及周边范围地貌属低山丘陵地貌，地形起伏较大，属较为典型的山地小城市。基于山地城市经济与生态建设的特殊要求，结合山地城市的特征，建立具有针对性的控规编制方法。</w:t>
      </w:r>
    </w:p>
    <w:p w14:paraId="2A4C5657">
      <w:pPr>
        <w:pStyle w:val="38"/>
        <w:numPr>
          <w:ilvl w:val="0"/>
          <w:numId w:val="5"/>
        </w:numPr>
        <w:spacing w:before="0" w:beforeLines="0" w:after="0" w:afterLines="0" w:line="580" w:lineRule="exact"/>
        <w:rPr>
          <w:rFonts w:ascii="黑体" w:hAnsi="黑体"/>
          <w:b/>
        </w:rPr>
      </w:pPr>
      <w:bookmarkStart w:id="22" w:name="_Toc528317021"/>
      <w:r>
        <w:rPr>
          <w:rFonts w:hint="eastAsia" w:ascii="黑体" w:hAnsi="黑体"/>
          <w:b/>
        </w:rPr>
        <w:t>指导思想</w:t>
      </w:r>
      <w:bookmarkEnd w:id="22"/>
    </w:p>
    <w:p w14:paraId="64ED7273">
      <w:pPr>
        <w:pStyle w:val="39"/>
        <w:spacing w:line="580" w:lineRule="exact"/>
        <w:rPr>
          <w:rFonts w:ascii="宋体" w:hAnsi="宋体" w:eastAsia="宋体"/>
        </w:rPr>
      </w:pPr>
      <w:r>
        <w:rPr>
          <w:rFonts w:hint="eastAsia" w:ascii="宋体" w:hAnsi="宋体" w:eastAsia="宋体"/>
        </w:rPr>
        <w:t>(一)注重安全</w:t>
      </w:r>
    </w:p>
    <w:p w14:paraId="445DD07A">
      <w:pPr>
        <w:pStyle w:val="39"/>
        <w:spacing w:line="580" w:lineRule="exact"/>
        <w:rPr>
          <w:rFonts w:ascii="宋体" w:hAnsi="宋体" w:eastAsia="宋体"/>
        </w:rPr>
      </w:pPr>
      <w:r>
        <w:rPr>
          <w:rFonts w:hint="eastAsia" w:ascii="宋体" w:hAnsi="宋体" w:eastAsia="宋体"/>
        </w:rPr>
        <w:t>山地城市所处区域是滑坡、泥石流等安全隐患多发地段，在规划前对城区用地进行建设条件评价；保证安全的同时，应对山地城市的生态安全进行分析研究，保护山地生态系统。</w:t>
      </w:r>
    </w:p>
    <w:p w14:paraId="1BB1FE93">
      <w:pPr>
        <w:pStyle w:val="39"/>
        <w:spacing w:line="580" w:lineRule="exact"/>
        <w:rPr>
          <w:rFonts w:ascii="宋体" w:hAnsi="宋体" w:eastAsia="宋体"/>
        </w:rPr>
      </w:pPr>
      <w:r>
        <w:rPr>
          <w:rFonts w:hint="eastAsia" w:ascii="宋体" w:hAnsi="宋体" w:eastAsia="宋体"/>
        </w:rPr>
        <w:t>(二)尊重自然</w:t>
      </w:r>
    </w:p>
    <w:p w14:paraId="12484C14">
      <w:pPr>
        <w:pStyle w:val="39"/>
        <w:spacing w:line="580" w:lineRule="exact"/>
        <w:rPr>
          <w:rFonts w:ascii="宋体" w:hAnsi="宋体" w:eastAsia="宋体"/>
        </w:rPr>
      </w:pPr>
      <w:r>
        <w:rPr>
          <w:rFonts w:hint="eastAsia" w:ascii="宋体" w:hAnsi="宋体" w:eastAsia="宋体"/>
        </w:rPr>
        <w:t>陵川风光秀美、生态条件优良，应遵循强调自然，尊重自然，人与自然和谐共生的思想。山地城市规划建设应遵循尊重自然的基本原则，保护自然环境，建设绿色生态小城市。</w:t>
      </w:r>
    </w:p>
    <w:p w14:paraId="222939CE">
      <w:pPr>
        <w:pStyle w:val="39"/>
        <w:spacing w:line="580" w:lineRule="exact"/>
        <w:rPr>
          <w:rFonts w:ascii="宋体" w:hAnsi="宋体" w:eastAsia="宋体"/>
        </w:rPr>
      </w:pPr>
      <w:r>
        <w:rPr>
          <w:rFonts w:hint="eastAsia" w:ascii="宋体" w:hAnsi="宋体" w:eastAsia="宋体"/>
        </w:rPr>
        <w:t>(三)易于实施</w:t>
      </w:r>
    </w:p>
    <w:p w14:paraId="481AF49D">
      <w:pPr>
        <w:pStyle w:val="39"/>
        <w:spacing w:line="580" w:lineRule="exact"/>
        <w:rPr>
          <w:rFonts w:ascii="宋体" w:hAnsi="宋体" w:eastAsia="宋体"/>
        </w:rPr>
      </w:pPr>
      <w:r>
        <w:rPr>
          <w:rFonts w:hint="eastAsia" w:ascii="宋体" w:hAnsi="宋体" w:eastAsia="宋体"/>
        </w:rPr>
        <w:t>山地地形复杂，建设难度高，工程量大。因此，规划中地块的划分、道路线型和工程管线的走向、管径以及工程设施的布置，要易于施工，尽量减少土方工程量。</w:t>
      </w:r>
    </w:p>
    <w:p w14:paraId="1EF004F8">
      <w:pPr>
        <w:pStyle w:val="39"/>
        <w:spacing w:line="580" w:lineRule="exact"/>
        <w:rPr>
          <w:rFonts w:ascii="宋体" w:hAnsi="宋体" w:eastAsia="宋体"/>
        </w:rPr>
      </w:pPr>
      <w:r>
        <w:rPr>
          <w:rFonts w:hint="eastAsia" w:ascii="宋体" w:hAnsi="宋体" w:eastAsia="宋体"/>
        </w:rPr>
        <w:t>(四)优化用地</w:t>
      </w:r>
    </w:p>
    <w:p w14:paraId="6FC9C918">
      <w:pPr>
        <w:pStyle w:val="39"/>
        <w:spacing w:line="580" w:lineRule="exact"/>
        <w:rPr>
          <w:rFonts w:ascii="宋体" w:hAnsi="宋体" w:eastAsia="宋体"/>
        </w:rPr>
      </w:pPr>
      <w:r>
        <w:rPr>
          <w:rFonts w:hint="eastAsia" w:ascii="宋体" w:hAnsi="宋体" w:eastAsia="宋体"/>
        </w:rPr>
        <w:t>“珍惜和合理利用土地”是我国的基本国策，在山地城市中尤为突出。相比平原地区，山地城市中可建设用地较少，与农业耕地矛盾突出，需要实行紧凑布局，集约利用土地。</w:t>
      </w:r>
    </w:p>
    <w:p w14:paraId="549959D6">
      <w:pPr>
        <w:pStyle w:val="39"/>
        <w:spacing w:line="580" w:lineRule="exact"/>
        <w:rPr>
          <w:rFonts w:ascii="宋体" w:hAnsi="宋体" w:eastAsia="宋体"/>
        </w:rPr>
      </w:pPr>
      <w:r>
        <w:rPr>
          <w:rFonts w:hint="eastAsia" w:ascii="宋体" w:hAnsi="宋体" w:eastAsia="宋体"/>
        </w:rPr>
        <w:t>(五)突出山地特色，因地制宜</w:t>
      </w:r>
    </w:p>
    <w:p w14:paraId="75C34135">
      <w:pPr>
        <w:pStyle w:val="39"/>
        <w:spacing w:line="580" w:lineRule="exact"/>
        <w:rPr>
          <w:rFonts w:ascii="宋体" w:hAnsi="宋体" w:eastAsia="宋体"/>
        </w:rPr>
      </w:pPr>
      <w:r>
        <w:rPr>
          <w:rFonts w:hint="eastAsia" w:ascii="宋体" w:hAnsi="宋体" w:eastAsia="宋体"/>
        </w:rPr>
        <w:t>陵川县城绿色环保，自然本底优秀，具有鲜明地域特色的人居环境。规划中不仅要保留和继承陵川的环境特色，还应突出保护和发扬生态和环境特征。</w:t>
      </w:r>
    </w:p>
    <w:p w14:paraId="44482CF5">
      <w:pPr>
        <w:pStyle w:val="39"/>
        <w:spacing w:line="580" w:lineRule="exact"/>
        <w:rPr>
          <w:rFonts w:ascii="宋体" w:hAnsi="宋体" w:eastAsia="宋体"/>
        </w:rPr>
      </w:pPr>
      <w:r>
        <w:rPr>
          <w:rFonts w:hint="eastAsia" w:ascii="宋体" w:hAnsi="宋体" w:eastAsia="宋体"/>
        </w:rPr>
        <w:t>(六)可持续发展</w:t>
      </w:r>
    </w:p>
    <w:p w14:paraId="62A4AA52">
      <w:pPr>
        <w:pStyle w:val="39"/>
        <w:spacing w:line="580" w:lineRule="exact"/>
        <w:rPr>
          <w:rFonts w:ascii="宋体" w:hAnsi="宋体" w:eastAsia="宋体"/>
        </w:rPr>
      </w:pPr>
      <w:r>
        <w:rPr>
          <w:rFonts w:hint="eastAsia" w:ascii="宋体" w:hAnsi="宋体" w:eastAsia="宋体"/>
        </w:rPr>
        <w:t>山地城市中，由于地形的分隔，城市用地易受地形影响而布置分散。规划将采用渐进式更新的方法，合理安排开发建设时序，注重各用地之间的联系以及资源的共享，有效控制建设用地的供给规模，为未来城市发展和建设留有余地。</w:t>
      </w:r>
    </w:p>
    <w:p w14:paraId="6CA49DE4">
      <w:pPr>
        <w:pStyle w:val="38"/>
        <w:numPr>
          <w:ilvl w:val="0"/>
          <w:numId w:val="5"/>
        </w:numPr>
        <w:spacing w:before="0" w:beforeLines="0" w:after="0" w:afterLines="0" w:line="580" w:lineRule="exact"/>
        <w:rPr>
          <w:rFonts w:ascii="黑体" w:hAnsi="黑体"/>
          <w:b/>
        </w:rPr>
      </w:pPr>
      <w:bookmarkStart w:id="23" w:name="_Toc528317022"/>
      <w:r>
        <w:rPr>
          <w:rFonts w:hint="eastAsia" w:ascii="黑体" w:hAnsi="黑体"/>
          <w:b/>
        </w:rPr>
        <w:t>布局原则</w:t>
      </w:r>
      <w:bookmarkEnd w:id="23"/>
    </w:p>
    <w:p w14:paraId="56A953B6">
      <w:pPr>
        <w:pStyle w:val="39"/>
        <w:spacing w:line="580" w:lineRule="exact"/>
        <w:rPr>
          <w:rFonts w:ascii="宋体" w:hAnsi="宋体" w:eastAsia="宋体"/>
        </w:rPr>
      </w:pPr>
      <w:r>
        <w:rPr>
          <w:rFonts w:hint="eastAsia" w:ascii="宋体" w:hAnsi="宋体" w:eastAsia="宋体"/>
        </w:rPr>
        <w:t>(一)结合自然条件，合理布置用地</w:t>
      </w:r>
    </w:p>
    <w:p w14:paraId="7B1EFD2E">
      <w:pPr>
        <w:pStyle w:val="39"/>
        <w:spacing w:line="580" w:lineRule="exact"/>
        <w:rPr>
          <w:rFonts w:ascii="宋体" w:hAnsi="宋体" w:eastAsia="宋体"/>
        </w:rPr>
      </w:pPr>
      <w:r>
        <w:rPr>
          <w:rFonts w:hint="eastAsia" w:ascii="宋体" w:hAnsi="宋体" w:eastAsia="宋体"/>
        </w:rPr>
        <w:t>山地城市土地资源稀缺，规划将根据自然条件，利用城外和城内的山体布置绿地，并注重平衡用地关系，工业、仓储用地相对平坦，生活居住用地自然环境优美。</w:t>
      </w:r>
    </w:p>
    <w:p w14:paraId="46F6FF41">
      <w:pPr>
        <w:pStyle w:val="39"/>
        <w:spacing w:line="580" w:lineRule="exact"/>
        <w:rPr>
          <w:rFonts w:ascii="宋体" w:hAnsi="宋体" w:eastAsia="宋体"/>
        </w:rPr>
      </w:pPr>
      <w:r>
        <w:rPr>
          <w:rFonts w:hint="eastAsia" w:ascii="宋体" w:hAnsi="宋体" w:eastAsia="宋体"/>
        </w:rPr>
        <w:t>(二)尊重山水格局，引导城市设计</w:t>
      </w:r>
    </w:p>
    <w:p w14:paraId="09DB9931">
      <w:pPr>
        <w:pStyle w:val="39"/>
        <w:spacing w:line="580" w:lineRule="exact"/>
        <w:rPr>
          <w:rFonts w:ascii="宋体" w:hAnsi="宋体" w:eastAsia="宋体"/>
        </w:rPr>
      </w:pPr>
      <w:r>
        <w:rPr>
          <w:rFonts w:hint="eastAsia" w:ascii="宋体" w:hAnsi="宋体" w:eastAsia="宋体"/>
        </w:rPr>
        <w:t>山地城市具有独特的自然山水关系，是城市特色的体现，具有天然的城市风貌和景观骨架，规划将充分利用这一优势，编制适合陵川的城市设计引导体系。</w:t>
      </w:r>
    </w:p>
    <w:p w14:paraId="2E779089">
      <w:pPr>
        <w:pStyle w:val="39"/>
        <w:spacing w:line="580" w:lineRule="exact"/>
        <w:rPr>
          <w:rFonts w:ascii="宋体" w:hAnsi="宋体" w:eastAsia="宋体"/>
        </w:rPr>
      </w:pPr>
      <w:r>
        <w:rPr>
          <w:rFonts w:hint="eastAsia" w:ascii="宋体" w:hAnsi="宋体" w:eastAsia="宋体"/>
        </w:rPr>
        <w:t>(三)合理配置公共设施，实现便捷生活</w:t>
      </w:r>
    </w:p>
    <w:p w14:paraId="64893875">
      <w:pPr>
        <w:pStyle w:val="39"/>
        <w:spacing w:line="580" w:lineRule="exact"/>
        <w:rPr>
          <w:rFonts w:ascii="宋体" w:hAnsi="宋体" w:eastAsia="宋体"/>
        </w:rPr>
      </w:pPr>
      <w:r>
        <w:rPr>
          <w:rFonts w:hint="eastAsia" w:ascii="宋体" w:hAnsi="宋体" w:eastAsia="宋体"/>
        </w:rPr>
        <w:t>山地城市在平面上的服务范围内会受到地形和交通的影响，公共服务设施的配置应根据实际的横向和纵向的距离来确定服务人口及范围，从而确定配套设施的等级和规模。</w:t>
      </w:r>
    </w:p>
    <w:p w14:paraId="19B422D4">
      <w:pPr>
        <w:pStyle w:val="39"/>
        <w:spacing w:line="580" w:lineRule="exact"/>
        <w:rPr>
          <w:rFonts w:ascii="宋体" w:hAnsi="宋体" w:eastAsia="宋体"/>
        </w:rPr>
      </w:pPr>
      <w:r>
        <w:rPr>
          <w:rFonts w:hint="eastAsia" w:ascii="宋体" w:hAnsi="宋体" w:eastAsia="宋体"/>
        </w:rPr>
        <w:t>(四)充分结合地形，完善城市体系</w:t>
      </w:r>
    </w:p>
    <w:p w14:paraId="5F9B0BA2">
      <w:pPr>
        <w:pStyle w:val="39"/>
        <w:spacing w:line="580" w:lineRule="exact"/>
        <w:rPr>
          <w:rFonts w:ascii="宋体" w:hAnsi="宋体" w:eastAsia="宋体"/>
        </w:rPr>
      </w:pPr>
      <w:r>
        <w:rPr>
          <w:rFonts w:hint="eastAsia" w:ascii="宋体" w:hAnsi="宋体" w:eastAsia="宋体"/>
        </w:rPr>
        <w:t>充分分析地形，编制适合陵川发展的竖向规划，合理整合及划分用地，确保规划的可实施性。遵从自然法则，在减少破坏山体的基础上打通交通联系，提高城区东西南北两轴的通达性，构建完善的城市发展体系。</w:t>
      </w:r>
    </w:p>
    <w:p w14:paraId="3FB0AFDB">
      <w:pPr>
        <w:pStyle w:val="39"/>
        <w:spacing w:line="580" w:lineRule="exact"/>
        <w:rPr>
          <w:rFonts w:ascii="宋体" w:hAnsi="宋体" w:eastAsia="宋体"/>
        </w:rPr>
      </w:pPr>
      <w:r>
        <w:rPr>
          <w:rFonts w:ascii="宋体" w:hAnsi="宋体" w:eastAsia="宋体"/>
        </w:rPr>
        <w:drawing>
          <wp:anchor distT="0" distB="0" distL="114300" distR="114300" simplePos="0" relativeHeight="251661312" behindDoc="0" locked="0" layoutInCell="1" allowOverlap="1">
            <wp:simplePos x="0" y="0"/>
            <wp:positionH relativeFrom="column">
              <wp:posOffset>-359410</wp:posOffset>
            </wp:positionH>
            <wp:positionV relativeFrom="paragraph">
              <wp:posOffset>127635</wp:posOffset>
            </wp:positionV>
            <wp:extent cx="6570980" cy="1745615"/>
            <wp:effectExtent l="19050" t="0" r="1270" b="0"/>
            <wp:wrapNone/>
            <wp:docPr id="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
                    <pic:cNvPicPr>
                      <a:picLocks noChangeAspect="1" noChangeArrowheads="1"/>
                    </pic:cNvPicPr>
                  </pic:nvPicPr>
                  <pic:blipFill>
                    <a:blip r:embed="rId10" cstate="print"/>
                    <a:srcRect/>
                    <a:stretch>
                      <a:fillRect/>
                    </a:stretch>
                  </pic:blipFill>
                  <pic:spPr>
                    <a:xfrm>
                      <a:off x="0" y="0"/>
                      <a:ext cx="6570980" cy="1745615"/>
                    </a:xfrm>
                    <a:prstGeom prst="rect">
                      <a:avLst/>
                    </a:prstGeom>
                    <a:noFill/>
                    <a:ln w="9525">
                      <a:noFill/>
                      <a:miter lim="800000"/>
                      <a:headEnd/>
                      <a:tailEnd/>
                    </a:ln>
                  </pic:spPr>
                </pic:pic>
              </a:graphicData>
            </a:graphic>
          </wp:anchor>
        </w:drawing>
      </w:r>
    </w:p>
    <w:p w14:paraId="7EBC8CFD">
      <w:pPr>
        <w:pStyle w:val="39"/>
        <w:spacing w:line="580" w:lineRule="exact"/>
        <w:rPr>
          <w:rFonts w:ascii="宋体" w:hAnsi="宋体" w:eastAsia="宋体"/>
        </w:rPr>
      </w:pPr>
    </w:p>
    <w:p w14:paraId="54A939A9">
      <w:pPr>
        <w:pStyle w:val="39"/>
        <w:spacing w:line="580" w:lineRule="exact"/>
        <w:rPr>
          <w:rFonts w:ascii="宋体" w:hAnsi="宋体" w:eastAsia="宋体"/>
        </w:rPr>
      </w:pPr>
    </w:p>
    <w:p w14:paraId="2735A3B1">
      <w:pPr>
        <w:pStyle w:val="39"/>
        <w:spacing w:line="580" w:lineRule="exact"/>
        <w:rPr>
          <w:rFonts w:ascii="宋体" w:hAnsi="宋体" w:eastAsia="宋体"/>
        </w:rPr>
      </w:pPr>
    </w:p>
    <w:p w14:paraId="2657E919">
      <w:pPr>
        <w:pStyle w:val="39"/>
        <w:spacing w:line="580" w:lineRule="exact"/>
        <w:rPr>
          <w:rFonts w:ascii="宋体" w:hAnsi="宋体" w:eastAsia="宋体"/>
        </w:rPr>
      </w:pPr>
    </w:p>
    <w:p w14:paraId="57AAD358">
      <w:pPr>
        <w:pStyle w:val="38"/>
        <w:numPr>
          <w:ilvl w:val="0"/>
          <w:numId w:val="5"/>
        </w:numPr>
        <w:spacing w:before="0" w:beforeLines="0" w:after="0" w:afterLines="0" w:line="580" w:lineRule="exact"/>
        <w:rPr>
          <w:rFonts w:ascii="黑体" w:hAnsi="黑体"/>
          <w:b/>
        </w:rPr>
      </w:pPr>
      <w:bookmarkStart w:id="24" w:name="_Toc528317023"/>
      <w:r>
        <w:rPr>
          <w:rFonts w:hint="eastAsia" w:ascii="黑体" w:hAnsi="黑体"/>
          <w:b/>
        </w:rPr>
        <w:t>规划构思</w:t>
      </w:r>
      <w:bookmarkEnd w:id="24"/>
    </w:p>
    <w:p w14:paraId="5E48BA55">
      <w:pPr>
        <w:pStyle w:val="39"/>
        <w:spacing w:line="580" w:lineRule="exact"/>
        <w:rPr>
          <w:rFonts w:ascii="宋体" w:hAnsi="宋体" w:eastAsia="宋体"/>
        </w:rPr>
      </w:pPr>
      <w:r>
        <w:rPr>
          <w:rFonts w:hint="eastAsia" w:ascii="宋体" w:hAnsi="宋体" w:eastAsia="宋体"/>
        </w:rPr>
        <w:t>(一)山、城、绿三网互动融合，构建生态新格局</w:t>
      </w:r>
    </w:p>
    <w:p w14:paraId="63BD2B98">
      <w:pPr>
        <w:pStyle w:val="39"/>
        <w:spacing w:line="580" w:lineRule="exact"/>
        <w:rPr>
          <w:rFonts w:ascii="宋体" w:hAnsi="宋体" w:eastAsia="宋体"/>
        </w:rPr>
      </w:pPr>
      <w:r>
        <w:rPr>
          <w:rFonts w:hint="eastAsia" w:ascii="宋体" w:hAnsi="宋体" w:eastAsia="宋体"/>
        </w:rPr>
        <w:t>依托城区自然生态环境，楔入多条生态廊道，融合山、城、绿，塑造良好的生态格局。保留陵川城内多处山丘，规划边山和沿路不同规模的绿地，在城区范围内沟通绿脉，形成绿色网络。合理组织城市用地布局，形成完整的开敞空间体系，并自然的嵌入山地、绿网之中。三网融合，构建陵川生态新格局。</w:t>
      </w:r>
    </w:p>
    <w:p w14:paraId="0E8F5458">
      <w:pPr>
        <w:pStyle w:val="39"/>
        <w:spacing w:line="580" w:lineRule="exact"/>
        <w:rPr>
          <w:rFonts w:ascii="宋体" w:hAnsi="宋体" w:eastAsia="宋体"/>
        </w:rPr>
      </w:pPr>
      <w:r>
        <w:rPr>
          <w:rFonts w:hint="eastAsia" w:ascii="宋体" w:hAnsi="宋体" w:eastAsia="宋体"/>
        </w:rPr>
        <w:t>(二)点、轴推进空间发展，激发城市空间活力</w:t>
      </w:r>
    </w:p>
    <w:p w14:paraId="385E790C">
      <w:pPr>
        <w:pStyle w:val="39"/>
        <w:spacing w:line="580" w:lineRule="exact"/>
        <w:rPr>
          <w:rFonts w:ascii="宋体" w:hAnsi="宋体" w:eastAsia="宋体"/>
        </w:rPr>
      </w:pPr>
      <w:r>
        <w:rPr>
          <w:rFonts w:hint="eastAsia" w:ascii="宋体" w:hAnsi="宋体" w:eastAsia="宋体"/>
        </w:rPr>
        <w:t>构建“</w:t>
      </w:r>
      <w:r>
        <w:rPr>
          <w:rFonts w:hint="eastAsia" w:ascii="宋体" w:hAnsi="宋体" w:eastAsia="宋体" w:cs="Arial"/>
          <w:kern w:val="0"/>
        </w:rPr>
        <w:t>两</w:t>
      </w:r>
      <w:r>
        <w:rPr>
          <w:rFonts w:ascii="宋体" w:hAnsi="宋体" w:eastAsia="宋体" w:cs="Arial"/>
          <w:kern w:val="0"/>
        </w:rPr>
        <w:t>轴</w:t>
      </w:r>
      <w:r>
        <w:rPr>
          <w:rFonts w:hint="eastAsia" w:ascii="宋体" w:hAnsi="宋体" w:eastAsia="宋体" w:cs="Arial"/>
          <w:kern w:val="0"/>
        </w:rPr>
        <w:t>交融</w:t>
      </w:r>
      <w:r>
        <w:rPr>
          <w:rFonts w:hint="eastAsia" w:ascii="宋体" w:hAnsi="宋体" w:eastAsia="宋体"/>
        </w:rPr>
        <w:t>”的城市发展结构，引领城市发展方向。轴线的交点形成城市公共服务中心，激发城市空间活力。依托此空间发展结构，运用城市设计的技术方法，塑造良好的空间形态。</w:t>
      </w:r>
    </w:p>
    <w:p w14:paraId="0D0EC82E">
      <w:pPr>
        <w:pStyle w:val="39"/>
        <w:spacing w:line="580" w:lineRule="exact"/>
        <w:rPr>
          <w:rFonts w:ascii="宋体" w:hAnsi="宋体" w:eastAsia="宋体"/>
        </w:rPr>
      </w:pPr>
      <w:r>
        <w:rPr>
          <w:rFonts w:hint="eastAsia" w:ascii="宋体" w:hAnsi="宋体" w:eastAsia="宋体"/>
        </w:rPr>
        <w:t>(三)功能多元、产城融合，促进老区职能再生</w:t>
      </w:r>
    </w:p>
    <w:p w14:paraId="2CE46297">
      <w:pPr>
        <w:pStyle w:val="39"/>
        <w:spacing w:line="580" w:lineRule="exact"/>
        <w:rPr>
          <w:rFonts w:ascii="宋体" w:hAnsi="宋体" w:eastAsia="宋体"/>
        </w:rPr>
      </w:pPr>
      <w:r>
        <w:rPr>
          <w:rFonts w:hint="eastAsia" w:ascii="宋体" w:hAnsi="宋体" w:eastAsia="宋体"/>
        </w:rPr>
        <w:t>陵川县城作为县域全域旅游的服务接待基地，在城区要大力发展现代服务业，并增加旅游产品加工、旅游物资集散等相关产业，为城市经济的发展注入新的活力。构建以行政管理、商业服务、生态居住为主导，以商务办公、休闲娱乐为特性的“3+2”产业体系，打造区域旅游服务型小城市。</w:t>
      </w:r>
    </w:p>
    <w:p w14:paraId="2B81488F">
      <w:pPr>
        <w:pStyle w:val="38"/>
        <w:numPr>
          <w:ilvl w:val="0"/>
          <w:numId w:val="5"/>
        </w:numPr>
        <w:spacing w:before="0" w:beforeLines="0" w:after="0" w:afterLines="0" w:line="580" w:lineRule="exact"/>
        <w:rPr>
          <w:rFonts w:ascii="黑体" w:hAnsi="黑体"/>
          <w:b/>
        </w:rPr>
      </w:pPr>
      <w:bookmarkStart w:id="25" w:name="_Toc528317024"/>
      <w:r>
        <w:rPr>
          <w:rFonts w:hint="eastAsia" w:ascii="黑体" w:hAnsi="黑体"/>
          <w:b/>
        </w:rPr>
        <w:t>功能定位与发展目标</w:t>
      </w:r>
      <w:bookmarkEnd w:id="25"/>
    </w:p>
    <w:p w14:paraId="72BF03A5">
      <w:pPr>
        <w:pStyle w:val="47"/>
        <w:spacing w:line="580" w:lineRule="exact"/>
      </w:pPr>
      <w:r>
        <w:rPr>
          <w:rFonts w:hint="eastAsia"/>
        </w:rPr>
        <w:t>(一)总体定位</w:t>
      </w:r>
    </w:p>
    <w:p w14:paraId="6B0A1820">
      <w:pPr>
        <w:pStyle w:val="39"/>
        <w:spacing w:line="580" w:lineRule="exact"/>
        <w:rPr>
          <w:rFonts w:ascii="宋体" w:hAnsi="宋体" w:eastAsia="宋体"/>
        </w:rPr>
      </w:pPr>
      <w:r>
        <w:rPr>
          <w:rFonts w:hint="eastAsia" w:ascii="宋体" w:hAnsi="宋体" w:eastAsia="宋体"/>
        </w:rPr>
        <w:t>坚持“绿色崛起、多元发展”道路，以创新驱动和城乡融合为发展理念，以建设“国家生态文明示范县”为目标，着力打造中原地区最具影响力的生态休闲旅游健康度假中心。</w:t>
      </w:r>
    </w:p>
    <w:p w14:paraId="7633E47C">
      <w:pPr>
        <w:pStyle w:val="47"/>
        <w:spacing w:line="580" w:lineRule="exact"/>
      </w:pPr>
      <w:r>
        <w:rPr>
          <w:rFonts w:hint="eastAsia"/>
        </w:rPr>
        <w:t>(二)发展目标</w:t>
      </w:r>
    </w:p>
    <w:p w14:paraId="4E4F2D20">
      <w:pPr>
        <w:pStyle w:val="39"/>
        <w:spacing w:line="580" w:lineRule="exact"/>
        <w:rPr>
          <w:rFonts w:ascii="宋体" w:hAnsi="宋体" w:eastAsia="宋体"/>
        </w:rPr>
      </w:pPr>
      <w:r>
        <w:rPr>
          <w:rFonts w:hint="eastAsia" w:ascii="宋体" w:hAnsi="宋体" w:eastAsia="宋体"/>
        </w:rPr>
        <w:t>1、锁定“大美古陵、小康陵川”美好愿景，坚定不移走“绿色崛起、多元发展”之路,努力建成国家生态文明建设示范县。</w:t>
      </w:r>
    </w:p>
    <w:p w14:paraId="4DB771B7">
      <w:pPr>
        <w:pStyle w:val="39"/>
        <w:spacing w:line="580" w:lineRule="exact"/>
        <w:rPr>
          <w:rFonts w:ascii="宋体" w:hAnsi="宋体" w:eastAsia="宋体"/>
        </w:rPr>
      </w:pPr>
      <w:r>
        <w:rPr>
          <w:rFonts w:hint="eastAsia" w:ascii="宋体" w:hAnsi="宋体" w:eastAsia="宋体"/>
        </w:rPr>
        <w:t>2、依托转型综改、创新驱动的发展机遇，健全城乡融合发展体制机制，实现全面建成小康社会的百年奋斗目标。</w:t>
      </w:r>
    </w:p>
    <w:p w14:paraId="4BA46C24">
      <w:pPr>
        <w:pStyle w:val="39"/>
        <w:spacing w:line="580" w:lineRule="exact"/>
        <w:rPr>
          <w:rFonts w:ascii="宋体" w:hAnsi="宋体" w:eastAsia="宋体"/>
        </w:rPr>
      </w:pPr>
      <w:r>
        <w:rPr>
          <w:rFonts w:hint="eastAsia" w:ascii="宋体" w:hAnsi="宋体" w:eastAsia="宋体"/>
        </w:rPr>
        <w:t>3、通过基础设施建设、区域合作，大力促进旅游与传统产业升级发展、积极培育新兴产业，将陵川打造为中原地区最具影响的生态休闲旅游、健康度假中心，建成最具活力的宜居宜业宜游新陵川。</w:t>
      </w:r>
    </w:p>
    <w:p w14:paraId="66A691B5">
      <w:pPr>
        <w:pStyle w:val="39"/>
        <w:spacing w:line="580" w:lineRule="exact"/>
        <w:rPr>
          <w:rFonts w:ascii="宋体" w:hAnsi="宋体" w:eastAsia="宋体"/>
        </w:rPr>
      </w:pPr>
    </w:p>
    <w:p w14:paraId="3F745CBD">
      <w:pPr>
        <w:pStyle w:val="39"/>
        <w:spacing w:line="580" w:lineRule="exact"/>
        <w:rPr>
          <w:rFonts w:ascii="宋体" w:hAnsi="宋体" w:eastAsia="宋体"/>
        </w:rPr>
      </w:pPr>
    </w:p>
    <w:p w14:paraId="7343E6B5">
      <w:pPr>
        <w:pStyle w:val="39"/>
        <w:spacing w:line="580" w:lineRule="exact"/>
        <w:rPr>
          <w:rFonts w:ascii="宋体" w:hAnsi="宋体" w:eastAsia="宋体"/>
        </w:rPr>
      </w:pPr>
    </w:p>
    <w:p w14:paraId="12F3E347">
      <w:pPr>
        <w:pStyle w:val="39"/>
        <w:spacing w:line="580" w:lineRule="exact"/>
        <w:rPr>
          <w:rFonts w:ascii="宋体" w:hAnsi="宋体" w:eastAsia="宋体"/>
        </w:rPr>
      </w:pPr>
      <w:r>
        <w:rPr>
          <w:rFonts w:ascii="宋体" w:hAnsi="宋体" w:eastAsia="宋体"/>
        </w:rPr>
        <w:drawing>
          <wp:anchor distT="0" distB="0" distL="114300" distR="114300" simplePos="0" relativeHeight="251662336" behindDoc="1" locked="0" layoutInCell="1" allowOverlap="1">
            <wp:simplePos x="0" y="0"/>
            <wp:positionH relativeFrom="column">
              <wp:posOffset>-2540</wp:posOffset>
            </wp:positionH>
            <wp:positionV relativeFrom="paragraph">
              <wp:posOffset>138430</wp:posOffset>
            </wp:positionV>
            <wp:extent cx="6250940" cy="3609340"/>
            <wp:effectExtent l="19050" t="0" r="0" b="0"/>
            <wp:wrapNone/>
            <wp:docPr id="2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4"/>
                    <pic:cNvPicPr>
                      <a:picLocks noChangeAspect="1" noChangeArrowheads="1"/>
                    </pic:cNvPicPr>
                  </pic:nvPicPr>
                  <pic:blipFill>
                    <a:blip r:embed="rId11" cstate="print"/>
                    <a:srcRect/>
                    <a:stretch>
                      <a:fillRect/>
                    </a:stretch>
                  </pic:blipFill>
                  <pic:spPr>
                    <a:xfrm>
                      <a:off x="0" y="0"/>
                      <a:ext cx="6250940" cy="3609340"/>
                    </a:xfrm>
                    <a:prstGeom prst="rect">
                      <a:avLst/>
                    </a:prstGeom>
                    <a:noFill/>
                    <a:ln w="9525">
                      <a:noFill/>
                      <a:miter lim="800000"/>
                      <a:headEnd/>
                      <a:tailEnd/>
                    </a:ln>
                  </pic:spPr>
                </pic:pic>
              </a:graphicData>
            </a:graphic>
          </wp:anchor>
        </w:drawing>
      </w:r>
    </w:p>
    <w:p w14:paraId="5DBB2E7C">
      <w:pPr>
        <w:pStyle w:val="39"/>
        <w:spacing w:line="580" w:lineRule="exact"/>
        <w:rPr>
          <w:rFonts w:ascii="宋体" w:hAnsi="宋体" w:eastAsia="宋体"/>
        </w:rPr>
      </w:pPr>
    </w:p>
    <w:p w14:paraId="2A0A69A3">
      <w:pPr>
        <w:pStyle w:val="39"/>
        <w:spacing w:line="580" w:lineRule="exact"/>
        <w:rPr>
          <w:rFonts w:ascii="宋体" w:hAnsi="宋体" w:eastAsia="宋体"/>
        </w:rPr>
      </w:pPr>
    </w:p>
    <w:p w14:paraId="26BDEB69">
      <w:pPr>
        <w:pStyle w:val="39"/>
        <w:spacing w:line="580" w:lineRule="exact"/>
        <w:rPr>
          <w:rFonts w:ascii="宋体" w:hAnsi="宋体" w:eastAsia="宋体"/>
        </w:rPr>
      </w:pPr>
    </w:p>
    <w:p w14:paraId="265F783E">
      <w:pPr>
        <w:pStyle w:val="39"/>
        <w:spacing w:line="580" w:lineRule="exact"/>
        <w:rPr>
          <w:rFonts w:ascii="宋体" w:hAnsi="宋体" w:eastAsia="宋体"/>
        </w:rPr>
      </w:pPr>
    </w:p>
    <w:p w14:paraId="1AF6F158">
      <w:pPr>
        <w:pStyle w:val="39"/>
        <w:spacing w:line="580" w:lineRule="exact"/>
        <w:rPr>
          <w:rFonts w:ascii="宋体" w:hAnsi="宋体" w:eastAsia="宋体"/>
        </w:rPr>
      </w:pPr>
    </w:p>
    <w:p w14:paraId="103BC1F2">
      <w:pPr>
        <w:pStyle w:val="39"/>
        <w:spacing w:line="580" w:lineRule="exact"/>
        <w:rPr>
          <w:rFonts w:ascii="宋体" w:hAnsi="宋体" w:eastAsia="宋体"/>
        </w:rPr>
      </w:pPr>
    </w:p>
    <w:p w14:paraId="79BFF62D">
      <w:pPr>
        <w:pStyle w:val="39"/>
        <w:spacing w:line="580" w:lineRule="exact"/>
        <w:rPr>
          <w:rFonts w:ascii="宋体" w:hAnsi="宋体" w:eastAsia="宋体"/>
        </w:rPr>
      </w:pPr>
    </w:p>
    <w:p w14:paraId="0EFE31CA">
      <w:pPr>
        <w:pStyle w:val="39"/>
        <w:spacing w:line="580" w:lineRule="exact"/>
        <w:rPr>
          <w:rFonts w:ascii="宋体" w:hAnsi="宋体" w:eastAsia="宋体"/>
        </w:rPr>
      </w:pPr>
    </w:p>
    <w:p w14:paraId="4ECC1609">
      <w:pPr>
        <w:pStyle w:val="39"/>
        <w:spacing w:line="580" w:lineRule="exact"/>
        <w:rPr>
          <w:rFonts w:ascii="宋体" w:hAnsi="宋体" w:eastAsia="宋体"/>
        </w:rPr>
      </w:pPr>
    </w:p>
    <w:p w14:paraId="2AD0C9F8">
      <w:pPr>
        <w:pStyle w:val="47"/>
        <w:spacing w:line="580" w:lineRule="exact"/>
      </w:pPr>
    </w:p>
    <w:p w14:paraId="0EB6BB32">
      <w:pPr>
        <w:pStyle w:val="47"/>
        <w:spacing w:line="580" w:lineRule="exact"/>
      </w:pPr>
      <w:r>
        <w:rPr>
          <w:rFonts w:hint="eastAsia"/>
        </w:rPr>
        <w:t>(二)功能结构</w:t>
      </w:r>
    </w:p>
    <w:p w14:paraId="4DD4CA41">
      <w:pPr>
        <w:pStyle w:val="39"/>
        <w:spacing w:line="580" w:lineRule="exact"/>
        <w:rPr>
          <w:rFonts w:ascii="宋体" w:hAnsi="宋体" w:eastAsia="宋体"/>
        </w:rPr>
      </w:pPr>
      <w:r>
        <w:rPr>
          <w:rFonts w:hint="eastAsia" w:ascii="宋体" w:hAnsi="宋体" w:eastAsia="宋体"/>
        </w:rPr>
        <w:t>充分利用城区周边和自身的山体及绿地景观资源，</w:t>
      </w:r>
      <w:r>
        <w:rPr>
          <w:rFonts w:ascii="宋体" w:hAnsi="宋体" w:eastAsia="宋体"/>
        </w:rPr>
        <w:t>落实《</w:t>
      </w:r>
      <w:r>
        <w:rPr>
          <w:rFonts w:hint="eastAsia" w:ascii="宋体" w:hAnsi="宋体" w:eastAsia="宋体"/>
        </w:rPr>
        <w:t>陵川</w:t>
      </w:r>
      <w:r>
        <w:rPr>
          <w:rFonts w:ascii="宋体" w:hAnsi="宋体" w:eastAsia="宋体"/>
        </w:rPr>
        <w:t>县</w:t>
      </w:r>
      <w:r>
        <w:rPr>
          <w:rFonts w:hint="eastAsia" w:ascii="宋体" w:hAnsi="宋体" w:eastAsia="宋体"/>
        </w:rPr>
        <w:t>县城</w:t>
      </w:r>
      <w:r>
        <w:rPr>
          <w:rFonts w:ascii="宋体" w:hAnsi="宋体" w:eastAsia="宋体"/>
        </w:rPr>
        <w:t>总体规划（201</w:t>
      </w:r>
      <w:r>
        <w:rPr>
          <w:rFonts w:hint="eastAsia" w:ascii="宋体" w:hAnsi="宋体" w:eastAsia="宋体"/>
        </w:rPr>
        <w:t>1</w:t>
      </w:r>
      <w:r>
        <w:rPr>
          <w:rFonts w:ascii="宋体" w:hAnsi="宋体" w:eastAsia="宋体"/>
        </w:rPr>
        <w:t>-2030年）》</w:t>
      </w:r>
      <w:r>
        <w:rPr>
          <w:rFonts w:hint="eastAsia" w:ascii="宋体" w:hAnsi="宋体" w:eastAsia="宋体"/>
        </w:rPr>
        <w:t>相关内容，合理安排用地的功能布局，优化公共服务设施配置，确定</w:t>
      </w:r>
      <w:r>
        <w:rPr>
          <w:rFonts w:ascii="宋体" w:hAnsi="宋体" w:eastAsia="宋体"/>
        </w:rPr>
        <w:t>中心城区规划结构</w:t>
      </w:r>
      <w:r>
        <w:rPr>
          <w:rFonts w:hint="eastAsia" w:ascii="宋体" w:hAnsi="宋体" w:eastAsia="宋体"/>
        </w:rPr>
        <w:t>为</w:t>
      </w:r>
      <w:r>
        <w:rPr>
          <w:rFonts w:ascii="宋体" w:hAnsi="宋体" w:eastAsia="宋体"/>
        </w:rPr>
        <w:t>： “一核引领，</w:t>
      </w:r>
      <w:r>
        <w:rPr>
          <w:rFonts w:hint="eastAsia" w:ascii="宋体" w:hAnsi="宋体" w:eastAsia="宋体"/>
        </w:rPr>
        <w:t>两</w:t>
      </w:r>
      <w:r>
        <w:rPr>
          <w:rFonts w:ascii="宋体" w:hAnsi="宋体" w:eastAsia="宋体"/>
        </w:rPr>
        <w:t>轴</w:t>
      </w:r>
      <w:r>
        <w:rPr>
          <w:rFonts w:hint="eastAsia" w:ascii="宋体" w:hAnsi="宋体" w:eastAsia="宋体"/>
        </w:rPr>
        <w:t>拓展</w:t>
      </w:r>
      <w:r>
        <w:rPr>
          <w:rFonts w:ascii="宋体" w:hAnsi="宋体" w:eastAsia="宋体"/>
        </w:rPr>
        <w:t>，</w:t>
      </w:r>
      <w:r>
        <w:rPr>
          <w:rFonts w:hint="eastAsia" w:ascii="宋体" w:hAnsi="宋体" w:eastAsia="宋体"/>
        </w:rPr>
        <w:t>四</w:t>
      </w:r>
      <w:r>
        <w:rPr>
          <w:rFonts w:ascii="宋体" w:hAnsi="宋体" w:eastAsia="宋体"/>
        </w:rPr>
        <w:t>区</w:t>
      </w:r>
      <w:r>
        <w:rPr>
          <w:rFonts w:hint="eastAsia" w:ascii="宋体" w:hAnsi="宋体" w:eastAsia="宋体"/>
        </w:rPr>
        <w:t>联动</w:t>
      </w:r>
      <w:r>
        <w:rPr>
          <w:rFonts w:ascii="宋体" w:hAnsi="宋体" w:eastAsia="宋体"/>
        </w:rPr>
        <w:t>，绿</w:t>
      </w:r>
      <w:r>
        <w:rPr>
          <w:rFonts w:hint="eastAsia" w:ascii="宋体" w:hAnsi="宋体" w:eastAsia="宋体"/>
        </w:rPr>
        <w:t>脉</w:t>
      </w:r>
      <w:r>
        <w:rPr>
          <w:rFonts w:ascii="宋体" w:hAnsi="宋体" w:eastAsia="宋体"/>
        </w:rPr>
        <w:t>交</w:t>
      </w:r>
      <w:r>
        <w:rPr>
          <w:rFonts w:hint="eastAsia" w:ascii="宋体" w:hAnsi="宋体" w:eastAsia="宋体"/>
        </w:rPr>
        <w:t>融</w:t>
      </w:r>
      <w:r>
        <w:rPr>
          <w:rFonts w:ascii="宋体" w:hAnsi="宋体" w:eastAsia="宋体"/>
        </w:rPr>
        <w:t>”。</w:t>
      </w:r>
    </w:p>
    <w:p w14:paraId="5A82DF59">
      <w:pPr>
        <w:pStyle w:val="39"/>
        <w:spacing w:line="580" w:lineRule="exact"/>
        <w:rPr>
          <w:rFonts w:ascii="宋体" w:hAnsi="宋体" w:eastAsia="宋体"/>
        </w:rPr>
      </w:pPr>
    </w:p>
    <w:p w14:paraId="5FC71850">
      <w:pPr>
        <w:pStyle w:val="39"/>
        <w:spacing w:line="580" w:lineRule="exact"/>
        <w:rPr>
          <w:rFonts w:ascii="宋体" w:hAnsi="宋体" w:eastAsia="宋体"/>
        </w:rPr>
      </w:pPr>
    </w:p>
    <w:p w14:paraId="1006597D">
      <w:pPr>
        <w:pStyle w:val="39"/>
        <w:spacing w:line="580" w:lineRule="exact"/>
        <w:rPr>
          <w:rFonts w:ascii="宋体" w:hAnsi="宋体" w:eastAsia="宋体"/>
        </w:rPr>
      </w:pPr>
    </w:p>
    <w:p w14:paraId="470AA592">
      <w:pPr>
        <w:pStyle w:val="39"/>
        <w:spacing w:line="580" w:lineRule="exact"/>
        <w:rPr>
          <w:rFonts w:hint="eastAsia" w:ascii="宋体" w:hAnsi="宋体" w:eastAsia="宋体"/>
        </w:rPr>
      </w:pPr>
    </w:p>
    <w:p w14:paraId="39D6304A">
      <w:pPr>
        <w:pStyle w:val="39"/>
        <w:spacing w:line="580" w:lineRule="exact"/>
        <w:rPr>
          <w:rFonts w:ascii="宋体" w:hAnsi="宋体" w:eastAsia="宋体"/>
        </w:rPr>
      </w:pPr>
    </w:p>
    <w:p w14:paraId="5EAF2EA1">
      <w:pPr>
        <w:pStyle w:val="39"/>
        <w:spacing w:line="580" w:lineRule="exact"/>
        <w:rPr>
          <w:rFonts w:ascii="宋体" w:hAnsi="宋体" w:eastAsia="宋体"/>
        </w:rPr>
      </w:pPr>
    </w:p>
    <w:p w14:paraId="384C0C17">
      <w:pPr>
        <w:pStyle w:val="39"/>
        <w:spacing w:line="580" w:lineRule="exact"/>
        <w:rPr>
          <w:rFonts w:ascii="宋体" w:hAnsi="宋体" w:eastAsia="宋体"/>
        </w:rPr>
      </w:pPr>
    </w:p>
    <w:p w14:paraId="60E2F144">
      <w:pPr>
        <w:pStyle w:val="39"/>
        <w:spacing w:line="580" w:lineRule="exact"/>
        <w:rPr>
          <w:rFonts w:ascii="宋体" w:hAnsi="宋体" w:eastAsia="宋体"/>
        </w:rPr>
      </w:pPr>
      <w:r>
        <w:rPr>
          <w:rFonts w:ascii="宋体" w:hAnsi="宋体" w:eastAsia="宋体"/>
        </w:rPr>
        <w:drawing>
          <wp:anchor distT="0" distB="0" distL="114300" distR="114300" simplePos="0" relativeHeight="251663360" behindDoc="1" locked="0" layoutInCell="1" allowOverlap="1">
            <wp:simplePos x="0" y="0"/>
            <wp:positionH relativeFrom="column">
              <wp:posOffset>717550</wp:posOffset>
            </wp:positionH>
            <wp:positionV relativeFrom="paragraph">
              <wp:posOffset>-389890</wp:posOffset>
            </wp:positionV>
            <wp:extent cx="4083050" cy="4445635"/>
            <wp:effectExtent l="0" t="0" r="0" b="0"/>
            <wp:wrapNone/>
            <wp:docPr id="2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7"/>
                    <pic:cNvPicPr>
                      <a:picLocks noChangeAspect="1" noChangeArrowheads="1"/>
                    </pic:cNvPicPr>
                  </pic:nvPicPr>
                  <pic:blipFill>
                    <a:blip r:embed="rId12" cstate="print">
                      <a:clrChange>
                        <a:clrFrom>
                          <a:srgbClr val="4A452A"/>
                        </a:clrFrom>
                        <a:clrTo>
                          <a:srgbClr val="4A452A">
                            <a:alpha val="0"/>
                          </a:srgbClr>
                        </a:clrTo>
                      </a:clrChange>
                    </a:blip>
                    <a:srcRect/>
                    <a:stretch>
                      <a:fillRect/>
                    </a:stretch>
                  </pic:blipFill>
                  <pic:spPr>
                    <a:xfrm>
                      <a:off x="0" y="0"/>
                      <a:ext cx="4083050" cy="4445635"/>
                    </a:xfrm>
                    <a:prstGeom prst="rect">
                      <a:avLst/>
                    </a:prstGeom>
                    <a:noFill/>
                    <a:ln w="9525">
                      <a:noFill/>
                      <a:miter lim="800000"/>
                      <a:headEnd/>
                      <a:tailEnd/>
                    </a:ln>
                  </pic:spPr>
                </pic:pic>
              </a:graphicData>
            </a:graphic>
          </wp:anchor>
        </w:drawing>
      </w:r>
    </w:p>
    <w:p w14:paraId="152E6E9B">
      <w:pPr>
        <w:pStyle w:val="39"/>
        <w:spacing w:line="580" w:lineRule="exact"/>
        <w:rPr>
          <w:rFonts w:ascii="宋体" w:hAnsi="宋体" w:eastAsia="宋体"/>
        </w:rPr>
      </w:pPr>
    </w:p>
    <w:p w14:paraId="6DB94E9B">
      <w:pPr>
        <w:pStyle w:val="39"/>
        <w:spacing w:line="580" w:lineRule="exact"/>
        <w:rPr>
          <w:rFonts w:ascii="宋体" w:hAnsi="宋体" w:eastAsia="宋体"/>
        </w:rPr>
      </w:pPr>
    </w:p>
    <w:p w14:paraId="4CD53779">
      <w:pPr>
        <w:pStyle w:val="39"/>
        <w:spacing w:line="580" w:lineRule="exact"/>
        <w:rPr>
          <w:rFonts w:ascii="宋体" w:hAnsi="宋体" w:eastAsia="宋体"/>
        </w:rPr>
      </w:pPr>
    </w:p>
    <w:p w14:paraId="6C0F8B9B">
      <w:pPr>
        <w:pStyle w:val="39"/>
        <w:spacing w:line="580" w:lineRule="exact"/>
        <w:rPr>
          <w:rFonts w:ascii="宋体" w:hAnsi="宋体" w:eastAsia="宋体"/>
        </w:rPr>
      </w:pPr>
    </w:p>
    <w:p w14:paraId="1347B5A2">
      <w:pPr>
        <w:pStyle w:val="39"/>
        <w:spacing w:line="580" w:lineRule="exact"/>
        <w:rPr>
          <w:rFonts w:ascii="宋体" w:hAnsi="宋体" w:eastAsia="宋体"/>
        </w:rPr>
      </w:pPr>
    </w:p>
    <w:p w14:paraId="6E0B76F0">
      <w:pPr>
        <w:pStyle w:val="39"/>
        <w:spacing w:line="580" w:lineRule="exact"/>
        <w:rPr>
          <w:rFonts w:ascii="宋体" w:hAnsi="宋体" w:eastAsia="宋体"/>
        </w:rPr>
      </w:pPr>
    </w:p>
    <w:p w14:paraId="522A9A32">
      <w:pPr>
        <w:pStyle w:val="39"/>
        <w:spacing w:line="580" w:lineRule="exact"/>
        <w:rPr>
          <w:rFonts w:ascii="宋体" w:hAnsi="宋体" w:eastAsia="宋体"/>
        </w:rPr>
      </w:pPr>
    </w:p>
    <w:p w14:paraId="68E2FAAD">
      <w:pPr>
        <w:pStyle w:val="39"/>
        <w:spacing w:line="580" w:lineRule="exact"/>
        <w:rPr>
          <w:rFonts w:ascii="宋体" w:hAnsi="宋体" w:eastAsia="宋体"/>
        </w:rPr>
      </w:pPr>
    </w:p>
    <w:p w14:paraId="261C57D9">
      <w:pPr>
        <w:pStyle w:val="39"/>
        <w:spacing w:line="580" w:lineRule="exact"/>
        <w:rPr>
          <w:rFonts w:ascii="宋体" w:hAnsi="宋体" w:eastAsia="宋体"/>
        </w:rPr>
      </w:pPr>
    </w:p>
    <w:p w14:paraId="49386516">
      <w:pPr>
        <w:pStyle w:val="39"/>
        <w:spacing w:line="580" w:lineRule="exact"/>
        <w:rPr>
          <w:rFonts w:ascii="宋体" w:hAnsi="宋体" w:eastAsia="宋体"/>
        </w:rPr>
      </w:pPr>
    </w:p>
    <w:p w14:paraId="789E811A">
      <w:pPr>
        <w:pStyle w:val="39"/>
        <w:spacing w:line="580" w:lineRule="exact"/>
        <w:ind w:firstLine="562"/>
        <w:rPr>
          <w:rFonts w:ascii="宋体" w:hAnsi="宋体" w:eastAsia="宋体"/>
        </w:rPr>
      </w:pPr>
      <w:r>
        <w:rPr>
          <w:rFonts w:ascii="宋体" w:hAnsi="宋体" w:eastAsia="宋体"/>
          <w:b/>
        </w:rPr>
        <w:t>一核引领</w:t>
      </w:r>
      <w:r>
        <w:rPr>
          <w:rFonts w:ascii="宋体" w:hAnsi="宋体" w:eastAsia="宋体"/>
        </w:rPr>
        <w:t>：由综合服务、商务展示、</w:t>
      </w:r>
      <w:r>
        <w:rPr>
          <w:rFonts w:hint="eastAsia" w:ascii="宋体" w:hAnsi="宋体" w:eastAsia="宋体"/>
        </w:rPr>
        <w:t>现代</w:t>
      </w:r>
      <w:r>
        <w:rPr>
          <w:rFonts w:ascii="宋体" w:hAnsi="宋体" w:eastAsia="宋体"/>
        </w:rPr>
        <w:t>商业区、</w:t>
      </w:r>
      <w:r>
        <w:rPr>
          <w:rFonts w:hint="eastAsia" w:ascii="宋体" w:hAnsi="宋体" w:eastAsia="宋体"/>
        </w:rPr>
        <w:t>历史</w:t>
      </w:r>
      <w:r>
        <w:rPr>
          <w:rFonts w:ascii="宋体" w:hAnsi="宋体" w:eastAsia="宋体"/>
        </w:rPr>
        <w:t>文化区合力组成的</w:t>
      </w:r>
      <w:r>
        <w:rPr>
          <w:rFonts w:hint="eastAsia" w:ascii="宋体" w:hAnsi="宋体" w:eastAsia="宋体"/>
        </w:rPr>
        <w:t>陵川县</w:t>
      </w:r>
      <w:r>
        <w:rPr>
          <w:rFonts w:ascii="宋体" w:hAnsi="宋体" w:eastAsia="宋体"/>
        </w:rPr>
        <w:t>综合发展核心。综合服务</w:t>
      </w:r>
      <w:r>
        <w:rPr>
          <w:rFonts w:hint="eastAsia" w:ascii="宋体" w:hAnsi="宋体" w:eastAsia="宋体"/>
        </w:rPr>
        <w:t>核心</w:t>
      </w:r>
      <w:r>
        <w:rPr>
          <w:rFonts w:ascii="宋体" w:hAnsi="宋体" w:eastAsia="宋体"/>
        </w:rPr>
        <w:t>以</w:t>
      </w:r>
      <w:r>
        <w:rPr>
          <w:rFonts w:hint="eastAsia" w:ascii="宋体" w:hAnsi="宋体" w:eastAsia="宋体"/>
        </w:rPr>
        <w:t>县</w:t>
      </w:r>
      <w:r>
        <w:rPr>
          <w:rFonts w:ascii="宋体" w:hAnsi="宋体" w:eastAsia="宋体"/>
        </w:rPr>
        <w:t>政府、</w:t>
      </w:r>
      <w:r>
        <w:rPr>
          <w:rFonts w:hint="eastAsia" w:ascii="宋体" w:hAnsi="宋体" w:eastAsia="宋体"/>
        </w:rPr>
        <w:t>国宝崇安寺</w:t>
      </w:r>
      <w:r>
        <w:rPr>
          <w:rFonts w:ascii="宋体" w:hAnsi="宋体" w:eastAsia="宋体"/>
        </w:rPr>
        <w:t>、</w:t>
      </w:r>
      <w:r>
        <w:rPr>
          <w:rFonts w:hint="eastAsia" w:ascii="宋体" w:hAnsi="宋体" w:eastAsia="宋体"/>
        </w:rPr>
        <w:t>传统商业步行街</w:t>
      </w:r>
      <w:r>
        <w:rPr>
          <w:rFonts w:ascii="宋体" w:hAnsi="宋体" w:eastAsia="宋体"/>
        </w:rPr>
        <w:t>等综合服务功能为主导，成为引领</w:t>
      </w:r>
      <w:r>
        <w:rPr>
          <w:rFonts w:hint="eastAsia" w:ascii="宋体" w:hAnsi="宋体" w:eastAsia="宋体"/>
        </w:rPr>
        <w:t>陵川县中心</w:t>
      </w:r>
      <w:r>
        <w:rPr>
          <w:rFonts w:ascii="宋体" w:hAnsi="宋体" w:eastAsia="宋体"/>
        </w:rPr>
        <w:t>城区发展的主要核心。</w:t>
      </w:r>
    </w:p>
    <w:p w14:paraId="0B58C33A">
      <w:pPr>
        <w:pStyle w:val="39"/>
        <w:spacing w:line="580" w:lineRule="exact"/>
        <w:ind w:firstLine="562"/>
        <w:rPr>
          <w:rFonts w:ascii="宋体" w:hAnsi="宋体" w:eastAsia="宋体"/>
        </w:rPr>
      </w:pPr>
      <w:r>
        <w:rPr>
          <w:rFonts w:hint="eastAsia" w:ascii="宋体" w:hAnsi="宋体" w:eastAsia="宋体"/>
          <w:b/>
        </w:rPr>
        <w:t>两</w:t>
      </w:r>
      <w:r>
        <w:rPr>
          <w:rFonts w:ascii="宋体" w:hAnsi="宋体" w:eastAsia="宋体"/>
          <w:b/>
        </w:rPr>
        <w:t>轴</w:t>
      </w:r>
      <w:r>
        <w:rPr>
          <w:rFonts w:hint="eastAsia" w:ascii="宋体" w:hAnsi="宋体" w:eastAsia="宋体"/>
          <w:b/>
        </w:rPr>
        <w:t>拓展</w:t>
      </w:r>
      <w:r>
        <w:rPr>
          <w:rFonts w:ascii="宋体" w:hAnsi="宋体" w:eastAsia="宋体"/>
        </w:rPr>
        <w:t>：以</w:t>
      </w:r>
      <w:r>
        <w:rPr>
          <w:rFonts w:hint="eastAsia" w:ascii="宋体" w:hAnsi="宋体" w:eastAsia="宋体"/>
        </w:rPr>
        <w:t>古陵路为轴，</w:t>
      </w:r>
      <w:r>
        <w:rPr>
          <w:rFonts w:ascii="宋体" w:hAnsi="宋体" w:eastAsia="宋体"/>
        </w:rPr>
        <w:t>打造</w:t>
      </w:r>
      <w:r>
        <w:rPr>
          <w:rFonts w:hint="eastAsia" w:ascii="宋体" w:hAnsi="宋体" w:eastAsia="宋体"/>
        </w:rPr>
        <w:t>城市</w:t>
      </w:r>
      <w:r>
        <w:rPr>
          <w:rFonts w:ascii="宋体" w:hAnsi="宋体" w:eastAsia="宋体"/>
        </w:rPr>
        <w:t>发展</w:t>
      </w:r>
      <w:r>
        <w:rPr>
          <w:rFonts w:hint="eastAsia" w:ascii="宋体" w:hAnsi="宋体" w:eastAsia="宋体"/>
        </w:rPr>
        <w:t>的主要</w:t>
      </w:r>
      <w:r>
        <w:rPr>
          <w:rFonts w:ascii="宋体" w:hAnsi="宋体" w:eastAsia="宋体"/>
        </w:rPr>
        <w:t>轴线</w:t>
      </w:r>
      <w:r>
        <w:rPr>
          <w:rFonts w:hint="eastAsia" w:ascii="宋体" w:hAnsi="宋体" w:eastAsia="宋体"/>
        </w:rPr>
        <w:t>，依托现有的资源，发展现代服务，盘活南北用地</w:t>
      </w:r>
      <w:r>
        <w:rPr>
          <w:rFonts w:ascii="宋体" w:hAnsi="宋体" w:eastAsia="宋体"/>
        </w:rPr>
        <w:t>；以</w:t>
      </w:r>
      <w:r>
        <w:rPr>
          <w:rFonts w:hint="eastAsia" w:ascii="宋体" w:hAnsi="宋体" w:eastAsia="宋体"/>
        </w:rPr>
        <w:t>梅园东街、梅园西街</w:t>
      </w:r>
      <w:r>
        <w:rPr>
          <w:rFonts w:ascii="宋体" w:hAnsi="宋体" w:eastAsia="宋体"/>
        </w:rPr>
        <w:t>为依托形成城市</w:t>
      </w:r>
      <w:r>
        <w:rPr>
          <w:rFonts w:hint="eastAsia" w:ascii="宋体" w:hAnsi="宋体" w:eastAsia="宋体"/>
        </w:rPr>
        <w:t>次</w:t>
      </w:r>
      <w:r>
        <w:rPr>
          <w:rFonts w:ascii="宋体" w:hAnsi="宋体" w:eastAsia="宋体"/>
        </w:rPr>
        <w:t>要发展轴线</w:t>
      </w:r>
      <w:r>
        <w:rPr>
          <w:rFonts w:hint="eastAsia" w:ascii="宋体" w:hAnsi="宋体" w:eastAsia="宋体"/>
        </w:rPr>
        <w:t>，依托东西走廊优势，提高土地用地效率</w:t>
      </w:r>
      <w:r>
        <w:rPr>
          <w:rFonts w:ascii="宋体" w:hAnsi="宋体" w:eastAsia="宋体"/>
        </w:rPr>
        <w:t>。</w:t>
      </w:r>
    </w:p>
    <w:p w14:paraId="6A20F343">
      <w:pPr>
        <w:pStyle w:val="39"/>
        <w:spacing w:line="580" w:lineRule="exact"/>
        <w:ind w:firstLine="562"/>
        <w:rPr>
          <w:rFonts w:ascii="宋体" w:hAnsi="宋体" w:eastAsia="宋体"/>
        </w:rPr>
      </w:pPr>
      <w:r>
        <w:rPr>
          <w:rFonts w:hint="eastAsia" w:ascii="宋体" w:hAnsi="宋体" w:eastAsia="宋体"/>
          <w:b/>
        </w:rPr>
        <w:t>四</w:t>
      </w:r>
      <w:r>
        <w:rPr>
          <w:rFonts w:ascii="宋体" w:hAnsi="宋体" w:eastAsia="宋体"/>
          <w:b/>
        </w:rPr>
        <w:t>区</w:t>
      </w:r>
      <w:r>
        <w:rPr>
          <w:rFonts w:hint="eastAsia" w:ascii="宋体" w:hAnsi="宋体" w:eastAsia="宋体"/>
          <w:b/>
        </w:rPr>
        <w:t>联动</w:t>
      </w:r>
      <w:r>
        <w:rPr>
          <w:rFonts w:ascii="宋体" w:hAnsi="宋体" w:eastAsia="宋体"/>
        </w:rPr>
        <w:t>：</w:t>
      </w:r>
      <w:r>
        <w:rPr>
          <w:rFonts w:hint="eastAsia" w:ascii="宋体" w:hAnsi="宋体" w:eastAsia="宋体"/>
        </w:rPr>
        <w:t>望洛融合生活区、崇安传承文化区、古陵乐享生活区、崇文新型产业区。</w:t>
      </w:r>
    </w:p>
    <w:p w14:paraId="7D6C8954">
      <w:pPr>
        <w:pStyle w:val="39"/>
        <w:spacing w:line="580" w:lineRule="exact"/>
        <w:ind w:firstLine="562"/>
        <w:rPr>
          <w:rFonts w:ascii="宋体" w:hAnsi="宋体" w:eastAsia="宋体"/>
        </w:rPr>
      </w:pPr>
      <w:r>
        <w:rPr>
          <w:rFonts w:hint="eastAsia" w:ascii="宋体" w:hAnsi="宋体" w:eastAsia="宋体"/>
          <w:b/>
        </w:rPr>
        <w:t>——传承文化区</w:t>
      </w:r>
      <w:r>
        <w:rPr>
          <w:rFonts w:hint="eastAsia" w:ascii="宋体" w:hAnsi="宋体" w:eastAsia="宋体"/>
        </w:rPr>
        <w:t>：以中部老城集中的公共服务设施为基础，以崇安寺、县政府为片区核心，发展成为城区的综合服务区。采用渐进式更新的方式，在保留现有公共服务职能的基础上，对老旧房屋、风貌不协调建筑等逐步更新，实现“城市修补”；通过历史文化街区的梳理和步行文化廊道的打造，提升该区域的文化气质和旅游氛围。</w:t>
      </w:r>
    </w:p>
    <w:p w14:paraId="1EB6CE91">
      <w:pPr>
        <w:pStyle w:val="39"/>
        <w:spacing w:line="580" w:lineRule="exact"/>
        <w:ind w:firstLine="562"/>
        <w:rPr>
          <w:rFonts w:ascii="宋体" w:hAnsi="宋体" w:eastAsia="宋体"/>
        </w:rPr>
      </w:pPr>
      <w:r>
        <w:rPr>
          <w:rFonts w:hint="eastAsia" w:ascii="宋体" w:hAnsi="宋体" w:eastAsia="宋体"/>
          <w:b/>
        </w:rPr>
        <w:t>——融合生活区</w:t>
      </w:r>
      <w:r>
        <w:rPr>
          <w:rFonts w:hint="eastAsia" w:ascii="宋体" w:hAnsi="宋体" w:eastAsia="宋体"/>
        </w:rPr>
        <w:t>：位于城区北部，是城区重要的组成部分。该区主要集中了陵川职业中学、若干中小学等。为带动旧区复兴，将在该区中心位置布置综合商业中心、商务办公、中心公园等公共服务设施，形成片区级公共中心，补充、完善区域发展公共服务体系，从植入新的职能入手，带动该区域的整体发展。</w:t>
      </w:r>
    </w:p>
    <w:p w14:paraId="19E505DF">
      <w:pPr>
        <w:pStyle w:val="39"/>
        <w:spacing w:line="580" w:lineRule="exact"/>
        <w:ind w:firstLine="562"/>
        <w:rPr>
          <w:rFonts w:ascii="宋体" w:hAnsi="宋体" w:eastAsia="宋体"/>
        </w:rPr>
      </w:pPr>
      <w:r>
        <w:rPr>
          <w:rFonts w:hint="eastAsia" w:ascii="宋体" w:hAnsi="宋体" w:eastAsia="宋体"/>
          <w:b/>
        </w:rPr>
        <w:t>——乐享生活区</w:t>
      </w:r>
      <w:r>
        <w:rPr>
          <w:rFonts w:hint="eastAsia" w:ascii="宋体" w:hAnsi="宋体" w:eastAsia="宋体"/>
        </w:rPr>
        <w:t>：在城区南部，结合“一路两街”项目建设陵川</w:t>
      </w:r>
      <w:r>
        <w:rPr>
          <w:rFonts w:ascii="宋体" w:hAnsi="宋体" w:eastAsia="宋体"/>
        </w:rPr>
        <w:t>南部</w:t>
      </w:r>
      <w:r>
        <w:rPr>
          <w:rFonts w:hint="eastAsia" w:ascii="宋体" w:hAnsi="宋体" w:eastAsia="宋体"/>
        </w:rPr>
        <w:t>文化服务新</w:t>
      </w:r>
      <w:r>
        <w:rPr>
          <w:rFonts w:ascii="宋体" w:hAnsi="宋体" w:eastAsia="宋体"/>
        </w:rPr>
        <w:t>区</w:t>
      </w:r>
      <w:r>
        <w:rPr>
          <w:rFonts w:hint="eastAsia" w:ascii="宋体" w:hAnsi="宋体" w:eastAsia="宋体"/>
        </w:rPr>
        <w:t>。已先后高质量建成陵川“三馆合一”、陵川中医院、体育场、旅游综合服务中心等项目。依托现状良好的建设条件，在该区引入中高档餐饮、酒店、娱乐康体等现代服务业，以陵川全域旅游为基础，作为陵川县城的门户区域，构建功能完善的旅游服务接待基地；同时，该区域也是陵川县城用地条件较好的区域，南部新城也将是展现陵川新时代风貌的核心区域。</w:t>
      </w:r>
    </w:p>
    <w:p w14:paraId="3CD628AD">
      <w:pPr>
        <w:pStyle w:val="39"/>
        <w:spacing w:line="580" w:lineRule="exact"/>
        <w:ind w:firstLine="562"/>
        <w:rPr>
          <w:rFonts w:ascii="宋体" w:hAnsi="宋体" w:eastAsia="宋体"/>
        </w:rPr>
      </w:pPr>
      <w:r>
        <w:rPr>
          <w:rFonts w:hint="eastAsia" w:ascii="宋体" w:hAnsi="宋体" w:eastAsia="宋体"/>
          <w:b/>
        </w:rPr>
        <w:t>——新型产业区</w:t>
      </w:r>
      <w:r>
        <w:rPr>
          <w:rFonts w:hint="eastAsia" w:ascii="宋体" w:hAnsi="宋体" w:eastAsia="宋体"/>
        </w:rPr>
        <w:t>：为配合陵川的旅游产业发展，在城区西南建设新型产业区。该区以手工艺品制作、特色食品加工、等旅游周边产品的生产和集散为主，综合工业用地和仓储用地形成陵川新型产业区。同时，该区也是蔬菜、水果、服务业用品等全域旅游所需服务产品的物资中转和集散区。</w:t>
      </w:r>
    </w:p>
    <w:p w14:paraId="7134FA13">
      <w:pPr>
        <w:pStyle w:val="39"/>
        <w:spacing w:line="580" w:lineRule="exact"/>
        <w:ind w:firstLine="562"/>
        <w:rPr>
          <w:rFonts w:ascii="宋体" w:hAnsi="宋体" w:eastAsia="宋体"/>
        </w:rPr>
      </w:pPr>
      <w:r>
        <w:rPr>
          <w:rFonts w:hint="eastAsia" w:ascii="宋体" w:hAnsi="宋体" w:eastAsia="宋体"/>
          <w:b/>
        </w:rPr>
        <w:t>绿脉</w:t>
      </w:r>
      <w:r>
        <w:rPr>
          <w:rFonts w:ascii="宋体" w:hAnsi="宋体" w:eastAsia="宋体"/>
          <w:b/>
        </w:rPr>
        <w:t>交</w:t>
      </w:r>
      <w:r>
        <w:rPr>
          <w:rFonts w:hint="eastAsia" w:ascii="宋体" w:hAnsi="宋体" w:eastAsia="宋体"/>
          <w:b/>
        </w:rPr>
        <w:t>融</w:t>
      </w:r>
      <w:r>
        <w:rPr>
          <w:rFonts w:ascii="宋体" w:hAnsi="宋体" w:eastAsia="宋体"/>
        </w:rPr>
        <w:t>：依托</w:t>
      </w:r>
      <w:r>
        <w:rPr>
          <w:rFonts w:hint="eastAsia" w:ascii="宋体" w:hAnsi="宋体" w:eastAsia="宋体"/>
        </w:rPr>
        <w:t>中心城区周边良好的生态</w:t>
      </w:r>
      <w:r>
        <w:rPr>
          <w:rFonts w:ascii="宋体" w:hAnsi="宋体" w:eastAsia="宋体"/>
        </w:rPr>
        <w:t>资源，</w:t>
      </w:r>
      <w:r>
        <w:rPr>
          <w:rFonts w:hint="eastAsia" w:ascii="宋体" w:hAnsi="宋体" w:eastAsia="宋体"/>
        </w:rPr>
        <w:t>边山</w:t>
      </w:r>
      <w:r>
        <w:rPr>
          <w:rFonts w:ascii="宋体" w:hAnsi="宋体" w:eastAsia="宋体"/>
        </w:rPr>
        <w:t>及主要道路形成绿化廊道</w:t>
      </w:r>
      <w:r>
        <w:rPr>
          <w:rFonts w:hint="eastAsia" w:ascii="宋体" w:hAnsi="宋体" w:eastAsia="宋体"/>
        </w:rPr>
        <w:t>；以现状山城关系为基础，保留现状城区内绿色山丘，拓展陵川丘陵地势特色，形成绿心与绿脉</w:t>
      </w:r>
      <w:r>
        <w:rPr>
          <w:rFonts w:ascii="宋体" w:hAnsi="宋体" w:eastAsia="宋体"/>
        </w:rPr>
        <w:t>相互渗透的生态网络。</w:t>
      </w:r>
    </w:p>
    <w:p w14:paraId="663D8721">
      <w:pPr>
        <w:pStyle w:val="38"/>
        <w:numPr>
          <w:ilvl w:val="0"/>
          <w:numId w:val="5"/>
        </w:numPr>
        <w:spacing w:before="0" w:beforeLines="0" w:after="0" w:afterLines="0" w:line="580" w:lineRule="exact"/>
        <w:rPr>
          <w:rFonts w:ascii="黑体" w:hAnsi="黑体"/>
          <w:b/>
        </w:rPr>
      </w:pPr>
      <w:bookmarkStart w:id="26" w:name="_Toc528317025"/>
      <w:r>
        <w:rPr>
          <w:rFonts w:hint="eastAsia" w:ascii="黑体" w:hAnsi="黑体"/>
          <w:b/>
        </w:rPr>
        <w:t>用地布局</w:t>
      </w:r>
      <w:bookmarkEnd w:id="26"/>
    </w:p>
    <w:p w14:paraId="315C3AE8">
      <w:pPr>
        <w:pStyle w:val="39"/>
        <w:spacing w:line="580" w:lineRule="exact"/>
        <w:rPr>
          <w:rFonts w:ascii="宋体" w:hAnsi="宋体" w:eastAsia="宋体"/>
        </w:rPr>
      </w:pPr>
      <w:r>
        <w:rPr>
          <w:rFonts w:hint="eastAsia" w:ascii="宋体" w:hAnsi="宋体" w:eastAsia="宋体"/>
        </w:rPr>
        <w:t>本次规划在用地上对上位总规进行了细化和局部调整，结合地形调整了部分道路线型，将路面宽度降低，加大路网密度，以适应山地小城市的发展；为了满足居民生活的需求，形成产业规模以及塑造良好的空间形态，将部分居住用地调整为商业用地、文化用地，将文物古迹周边用地部分调整为公共绿地；将部分居住或商业用地调整为混合用地，以适应城市发展过程中的市场需求，并增加规划的弹性。结合良好的自然生态环境，合理安排，形成办公、商务、休闲、生态居住等用地的布局，形成完善的、具有特色的陵川县城。</w:t>
      </w:r>
    </w:p>
    <w:p w14:paraId="60AF618E">
      <w:pPr>
        <w:pStyle w:val="39"/>
        <w:spacing w:line="580" w:lineRule="exact"/>
        <w:rPr>
          <w:rFonts w:ascii="宋体" w:hAnsi="宋体" w:eastAsia="宋体"/>
        </w:rPr>
      </w:pPr>
      <w:r>
        <w:rPr>
          <w:rFonts w:hint="eastAsia" w:ascii="宋体" w:hAnsi="宋体" w:eastAsia="宋体"/>
        </w:rPr>
        <w:t>本次规划</w:t>
      </w:r>
    </w:p>
    <w:p w14:paraId="752C63B5">
      <w:pPr>
        <w:pStyle w:val="47"/>
        <w:spacing w:line="580" w:lineRule="exact"/>
        <w:rPr>
          <w:b/>
        </w:rPr>
      </w:pPr>
      <w:r>
        <w:rPr>
          <w:rFonts w:hint="eastAsia"/>
        </w:rPr>
        <w:t>(一)居住用地</w:t>
      </w:r>
    </w:p>
    <w:p w14:paraId="7D8DA3FA">
      <w:pPr>
        <w:pStyle w:val="39"/>
        <w:spacing w:line="580" w:lineRule="exact"/>
        <w:rPr>
          <w:rFonts w:ascii="宋体" w:hAnsi="宋体" w:eastAsia="宋体"/>
        </w:rPr>
      </w:pPr>
      <w:r>
        <w:rPr>
          <w:rFonts w:hint="eastAsia" w:ascii="宋体" w:hAnsi="宋体" w:eastAsia="宋体"/>
        </w:rPr>
        <w:t>规划居住用地以二类居住为主，城区共分为三个片区五个社区12个邻里单元。保留城区中南部南岭两侧风貌独特的底层一类居住建筑，以体现陵川独特的山城关系和城市风貌；其余均为二类居住；居住用地面积为404.68公顷，占总建设用地的38.77%。为满足本底居民住房需求为主，兼顾周边城市客群的第二居所需求，在未来市场成熟的情况下，可以在南部结合山体地形开展宜居地产等项目，打造舒适、绿色的居住环境，凸显生态宜居和文化氛围，全面提高居住品质；同时可结合现代养老设施引入康养医院、生态住区等项目，从而带动南部新区的高品质发展。</w:t>
      </w:r>
    </w:p>
    <w:p w14:paraId="1D409997">
      <w:pPr>
        <w:pStyle w:val="39"/>
        <w:spacing w:line="580" w:lineRule="exact"/>
        <w:rPr>
          <w:rFonts w:ascii="宋体" w:hAnsi="宋体" w:eastAsia="宋体"/>
        </w:rPr>
      </w:pPr>
      <w:r>
        <w:rPr>
          <w:rFonts w:hint="eastAsia" w:ascii="宋体" w:hAnsi="宋体" w:eastAsia="宋体"/>
        </w:rPr>
        <w:t>居住用地细分包括住宅用地、服务设施用地、幼儿园用地。其中住宅用地为345公顷，住宅建筑总面积约517.5万平方米。</w:t>
      </w:r>
    </w:p>
    <w:p w14:paraId="294C8BB3">
      <w:pPr>
        <w:pStyle w:val="39"/>
        <w:spacing w:line="580" w:lineRule="exact"/>
        <w:rPr>
          <w:rFonts w:ascii="宋体" w:hAnsi="宋体" w:eastAsia="宋体"/>
        </w:rPr>
      </w:pPr>
      <w:r>
        <w:rPr>
          <w:rFonts w:hint="eastAsia" w:ascii="宋体" w:hAnsi="宋体" w:eastAsia="宋体"/>
        </w:rPr>
        <w:t>幼儿园按照30生/千人标准配置，每个居住邻里单元至少建设一处独立占地的幼儿园，共计需建设幼儿园13处均为点控。其中6处需在现状基础改扩建，</w:t>
      </w:r>
      <w:r>
        <w:rPr>
          <w:rFonts w:ascii="宋体" w:hAnsi="宋体" w:eastAsia="宋体"/>
        </w:rPr>
        <w:t>7</w:t>
      </w:r>
      <w:r>
        <w:rPr>
          <w:rFonts w:hint="eastAsia" w:ascii="宋体" w:hAnsi="宋体" w:eastAsia="宋体"/>
        </w:rPr>
        <w:t>处为新建幼儿园。</w:t>
      </w:r>
    </w:p>
    <w:p w14:paraId="28875778">
      <w:pPr>
        <w:pStyle w:val="47"/>
        <w:spacing w:line="580" w:lineRule="exact"/>
        <w:rPr>
          <w:b/>
        </w:rPr>
      </w:pPr>
      <w:r>
        <w:rPr>
          <w:rFonts w:hint="eastAsia"/>
        </w:rPr>
        <w:t>(二)公共管理与公共服务设施用地</w:t>
      </w:r>
    </w:p>
    <w:p w14:paraId="5D6A8608">
      <w:pPr>
        <w:pStyle w:val="39"/>
        <w:spacing w:line="580" w:lineRule="exact"/>
        <w:rPr>
          <w:rFonts w:ascii="宋体" w:hAnsi="宋体" w:eastAsia="宋体"/>
        </w:rPr>
      </w:pPr>
      <w:r>
        <w:rPr>
          <w:rFonts w:hint="eastAsia" w:ascii="宋体" w:hAnsi="宋体" w:eastAsia="宋体"/>
        </w:rPr>
        <w:t>城区公共管理与公共服务设施分为三级设置，城市级——社区级——邻里中心。城市级公共服务中心位于梅园街与古陵路十字交叉区域，该区域集中了主要的城市级行政办公、商业、文化等设施；社区级公共服务中心主要布置于三个片区的中心，提供区级行政办公、综合商业、文化娱乐等公服设施。邻里中心主要设置在邻里单元内，按照500-1000米服务半径设置，该类用地计入居住总用地。</w:t>
      </w:r>
    </w:p>
    <w:p w14:paraId="4C24FD09">
      <w:pPr>
        <w:pStyle w:val="39"/>
        <w:spacing w:line="580" w:lineRule="exact"/>
        <w:rPr>
          <w:rFonts w:ascii="宋体" w:hAnsi="宋体" w:eastAsia="宋体"/>
        </w:rPr>
      </w:pPr>
      <w:r>
        <w:rPr>
          <w:rFonts w:hint="eastAsia" w:ascii="宋体" w:hAnsi="宋体" w:eastAsia="宋体"/>
        </w:rPr>
        <w:t>规划公共管理和公共服务用地面积为105.52公顷，占总建设用地面积的10.11%。</w:t>
      </w:r>
    </w:p>
    <w:p w14:paraId="45844526">
      <w:pPr>
        <w:pStyle w:val="47"/>
        <w:spacing w:line="580" w:lineRule="exact"/>
        <w:rPr>
          <w:shd w:val="clear" w:color="auto" w:fill="FFFFFF" w:themeFill="background1"/>
        </w:rPr>
      </w:pPr>
      <w:r>
        <w:rPr>
          <w:rFonts w:hint="eastAsia"/>
          <w:shd w:val="clear" w:color="auto" w:fill="FFFFFF" w:themeFill="background1"/>
        </w:rPr>
        <w:t>1、行政办公用地（A1）</w:t>
      </w:r>
    </w:p>
    <w:p w14:paraId="3FD5D246">
      <w:pPr>
        <w:pStyle w:val="47"/>
        <w:spacing w:line="580" w:lineRule="exact"/>
        <w:rPr>
          <w:shd w:val="clear" w:color="auto" w:fill="FFFFFF" w:themeFill="background1"/>
        </w:rPr>
      </w:pPr>
      <w:r>
        <w:rPr>
          <w:rFonts w:hint="eastAsia"/>
          <w:shd w:val="clear" w:color="auto" w:fill="FFFFFF" w:themeFill="background1"/>
        </w:rPr>
        <w:t>主要集中在城区中部核心区，沿梅园东街、梅园西街两侧分布。包括陵川县人民政府、崇文镇政府及其他行政服务机构所在地。</w:t>
      </w:r>
    </w:p>
    <w:p w14:paraId="3880F3B5">
      <w:pPr>
        <w:pStyle w:val="47"/>
        <w:spacing w:line="580" w:lineRule="exact"/>
        <w:rPr>
          <w:shd w:val="clear" w:color="auto" w:fill="FFFFFF" w:themeFill="background1"/>
        </w:rPr>
      </w:pPr>
      <w:r>
        <w:rPr>
          <w:rFonts w:hint="eastAsia"/>
          <w:shd w:val="clear" w:color="auto" w:fill="FFFFFF" w:themeFill="background1"/>
        </w:rPr>
        <w:t>2、文化设施用地（A2）：</w:t>
      </w:r>
    </w:p>
    <w:p w14:paraId="743EA5AA">
      <w:pPr>
        <w:pStyle w:val="47"/>
        <w:spacing w:line="580" w:lineRule="exact"/>
        <w:rPr>
          <w:shd w:val="clear" w:color="auto" w:fill="FFFFFF" w:themeFill="background1"/>
        </w:rPr>
      </w:pPr>
      <w:r>
        <w:rPr>
          <w:rFonts w:hint="eastAsia"/>
          <w:shd w:val="clear" w:color="auto" w:fill="FFFFFF" w:themeFill="background1"/>
        </w:rPr>
        <w:t>文化设施用地6处，分别位于各社区的公共服务中心，规划面积7.82公顷。（地块D-03，D-04、C-27、B-32、B-16、B-04）。</w:t>
      </w:r>
    </w:p>
    <w:p w14:paraId="22EC30DE">
      <w:pPr>
        <w:pStyle w:val="47"/>
        <w:spacing w:line="580" w:lineRule="exact"/>
        <w:rPr>
          <w:shd w:val="clear" w:color="auto" w:fill="FFFFFF" w:themeFill="background1"/>
        </w:rPr>
      </w:pPr>
      <w:r>
        <w:rPr>
          <w:rFonts w:hint="eastAsia"/>
          <w:shd w:val="clear" w:color="auto" w:fill="FFFFFF" w:themeFill="background1"/>
        </w:rPr>
        <w:t>文化设施用地用以建设包括文化馆、图书馆、青少年活动中心等建筑。</w:t>
      </w:r>
    </w:p>
    <w:p w14:paraId="7E2E647E">
      <w:pPr>
        <w:pStyle w:val="39"/>
        <w:spacing w:line="580" w:lineRule="exact"/>
        <w:rPr>
          <w:rFonts w:ascii="宋体" w:hAnsi="宋体" w:eastAsia="宋体"/>
        </w:rPr>
      </w:pPr>
      <w:r>
        <w:rPr>
          <w:rFonts w:ascii="宋体" w:hAnsi="宋体" w:eastAsia="宋体"/>
        </w:rPr>
        <w:t>3</w:t>
      </w:r>
      <w:r>
        <w:rPr>
          <w:rFonts w:hint="eastAsia" w:ascii="宋体" w:hAnsi="宋体" w:eastAsia="宋体"/>
        </w:rPr>
        <w:t>、教育</w:t>
      </w:r>
      <w:r>
        <w:rPr>
          <w:rFonts w:ascii="宋体" w:hAnsi="宋体" w:eastAsia="宋体"/>
        </w:rPr>
        <w:t>科研用地（</w:t>
      </w:r>
      <w:r>
        <w:rPr>
          <w:rFonts w:hint="eastAsia" w:ascii="宋体" w:hAnsi="宋体" w:eastAsia="宋体"/>
        </w:rPr>
        <w:t>A3</w:t>
      </w:r>
      <w:r>
        <w:rPr>
          <w:rFonts w:ascii="宋体" w:hAnsi="宋体" w:eastAsia="宋体"/>
        </w:rPr>
        <w:t>）</w:t>
      </w:r>
    </w:p>
    <w:p w14:paraId="18F833E7">
      <w:pPr>
        <w:pStyle w:val="39"/>
        <w:spacing w:line="580" w:lineRule="exact"/>
        <w:rPr>
          <w:rFonts w:ascii="宋体" w:hAnsi="宋体" w:eastAsia="宋体"/>
        </w:rPr>
      </w:pPr>
      <w:r>
        <w:rPr>
          <w:rFonts w:hint="eastAsia" w:ascii="宋体" w:hAnsi="宋体" w:eastAsia="宋体"/>
        </w:rPr>
        <w:t>结合现状城区内小学建设情况、7个社区的行政区划划分情况，对城区内中、小学进行科学设置后再根据实际入学区域划分情况进行校核。</w:t>
      </w:r>
    </w:p>
    <w:p w14:paraId="6AC0CAF7">
      <w:pPr>
        <w:pStyle w:val="39"/>
        <w:spacing w:line="580" w:lineRule="exact"/>
        <w:rPr>
          <w:rFonts w:ascii="宋体" w:hAnsi="宋体" w:eastAsia="宋体"/>
        </w:rPr>
      </w:pPr>
      <w:r>
        <w:rPr>
          <w:rFonts w:hint="eastAsia" w:ascii="宋体" w:hAnsi="宋体" w:eastAsia="宋体"/>
        </w:rPr>
        <w:t>小学按照70生/千人标准配置，服务半径约500米，规划小学共13处，其中4处为保留现状，6处为改扩建，3处为新建。小学建设用地共22.01公顷。</w:t>
      </w:r>
    </w:p>
    <w:p w14:paraId="07A4A820">
      <w:pPr>
        <w:pStyle w:val="39"/>
        <w:spacing w:line="580" w:lineRule="exact"/>
        <w:rPr>
          <w:rFonts w:ascii="宋体" w:hAnsi="宋体" w:eastAsia="宋体"/>
        </w:rPr>
      </w:pPr>
      <w:r>
        <w:rPr>
          <w:rFonts w:hint="eastAsia" w:ascii="宋体" w:hAnsi="宋体" w:eastAsia="宋体"/>
        </w:rPr>
        <w:t>中学按照35生/千人标准配置，服务半径约1000米。规划中学共5处，其中3处为保留现状，2处为改扩建。初级中学建设用地共24.43公顷。</w:t>
      </w:r>
    </w:p>
    <w:p w14:paraId="40E73B22">
      <w:pPr>
        <w:pStyle w:val="39"/>
        <w:spacing w:line="580" w:lineRule="exact"/>
        <w:ind w:firstLine="0" w:firstLineChars="0"/>
        <w:jc w:val="center"/>
        <w:rPr>
          <w:rFonts w:ascii="宋体" w:hAnsi="宋体" w:eastAsia="宋体"/>
          <w:b/>
        </w:rPr>
      </w:pPr>
      <w:r>
        <w:rPr>
          <w:rFonts w:hint="eastAsia" w:ascii="宋体" w:hAnsi="宋体" w:eastAsia="宋体"/>
          <w:b/>
        </w:rPr>
        <w:t>表</w:t>
      </w:r>
      <w:r>
        <w:rPr>
          <w:rFonts w:ascii="宋体" w:hAnsi="宋体" w:eastAsia="宋体"/>
          <w:b/>
        </w:rPr>
        <w:t xml:space="preserve">5  </w:t>
      </w:r>
      <w:r>
        <w:rPr>
          <w:rFonts w:hint="eastAsia" w:ascii="宋体" w:hAnsi="宋体" w:eastAsia="宋体"/>
          <w:b/>
        </w:rPr>
        <w:t>规划教育设施一览表</w:t>
      </w:r>
    </w:p>
    <w:tbl>
      <w:tblPr>
        <w:tblStyle w:val="21"/>
        <w:tblW w:w="880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660"/>
        <w:gridCol w:w="1133"/>
        <w:gridCol w:w="2190"/>
        <w:gridCol w:w="2190"/>
        <w:gridCol w:w="1634"/>
      </w:tblGrid>
      <w:tr w14:paraId="0D0924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blHeader/>
        </w:trPr>
        <w:tc>
          <w:tcPr>
            <w:tcW w:w="1660" w:type="dxa"/>
            <w:vAlign w:val="center"/>
          </w:tcPr>
          <w:p w14:paraId="77C0C381">
            <w:pPr>
              <w:pStyle w:val="48"/>
            </w:pPr>
            <w:r>
              <w:rPr>
                <w:rFonts w:hint="eastAsia"/>
              </w:rPr>
              <w:t>类别</w:t>
            </w:r>
          </w:p>
        </w:tc>
        <w:tc>
          <w:tcPr>
            <w:tcW w:w="1133" w:type="dxa"/>
            <w:vAlign w:val="center"/>
          </w:tcPr>
          <w:p w14:paraId="7AFCA57F">
            <w:pPr>
              <w:pStyle w:val="48"/>
            </w:pPr>
            <w:r>
              <w:rPr>
                <w:rFonts w:hint="eastAsia"/>
              </w:rPr>
              <w:t>位置</w:t>
            </w:r>
          </w:p>
        </w:tc>
        <w:tc>
          <w:tcPr>
            <w:tcW w:w="2190" w:type="dxa"/>
            <w:vAlign w:val="center"/>
          </w:tcPr>
          <w:p w14:paraId="5BBA60A3">
            <w:pPr>
              <w:pStyle w:val="48"/>
            </w:pPr>
            <w:r>
              <w:rPr>
                <w:rFonts w:hint="eastAsia"/>
              </w:rPr>
              <w:t>占地（公顷）</w:t>
            </w:r>
          </w:p>
        </w:tc>
        <w:tc>
          <w:tcPr>
            <w:tcW w:w="2190" w:type="dxa"/>
            <w:vAlign w:val="center"/>
          </w:tcPr>
          <w:p w14:paraId="78E09F65">
            <w:pPr>
              <w:pStyle w:val="48"/>
            </w:pPr>
            <w:r>
              <w:rPr>
                <w:rFonts w:hint="eastAsia"/>
              </w:rPr>
              <w:t>建设标准</w:t>
            </w:r>
          </w:p>
        </w:tc>
        <w:tc>
          <w:tcPr>
            <w:tcW w:w="1634" w:type="dxa"/>
            <w:vAlign w:val="center"/>
          </w:tcPr>
          <w:p w14:paraId="7A3E5A1A">
            <w:pPr>
              <w:pStyle w:val="48"/>
            </w:pPr>
            <w:r>
              <w:rPr>
                <w:rFonts w:hint="eastAsia"/>
              </w:rPr>
              <w:t>备注</w:t>
            </w:r>
          </w:p>
        </w:tc>
      </w:tr>
      <w:tr w14:paraId="4B2715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restart"/>
            <w:vAlign w:val="center"/>
          </w:tcPr>
          <w:p w14:paraId="459EFEFF">
            <w:pPr>
              <w:pStyle w:val="48"/>
            </w:pPr>
            <w:r>
              <w:rPr>
                <w:rFonts w:hint="eastAsia"/>
              </w:rPr>
              <w:t>中学</w:t>
            </w:r>
          </w:p>
        </w:tc>
        <w:tc>
          <w:tcPr>
            <w:tcW w:w="1133" w:type="dxa"/>
            <w:vAlign w:val="center"/>
          </w:tcPr>
          <w:p w14:paraId="6C7D5137">
            <w:pPr>
              <w:pStyle w:val="48"/>
            </w:pPr>
            <w:r>
              <w:rPr>
                <w:rFonts w:hint="eastAsia"/>
              </w:rPr>
              <w:t>C-06</w:t>
            </w:r>
          </w:p>
        </w:tc>
        <w:tc>
          <w:tcPr>
            <w:tcW w:w="2190" w:type="dxa"/>
            <w:vAlign w:val="center"/>
          </w:tcPr>
          <w:p w14:paraId="6DC64040">
            <w:pPr>
              <w:pStyle w:val="48"/>
            </w:pPr>
            <w:r>
              <w:rPr>
                <w:rFonts w:hint="eastAsia"/>
              </w:rPr>
              <w:t>6.32</w:t>
            </w:r>
          </w:p>
        </w:tc>
        <w:tc>
          <w:tcPr>
            <w:tcW w:w="2190" w:type="dxa"/>
            <w:vAlign w:val="center"/>
          </w:tcPr>
          <w:p w14:paraId="4B6F3BB3">
            <w:pPr>
              <w:pStyle w:val="48"/>
            </w:pPr>
            <w:r>
              <w:rPr>
                <w:rFonts w:hint="eastAsia"/>
              </w:rPr>
              <w:t>36班</w:t>
            </w:r>
          </w:p>
        </w:tc>
        <w:tc>
          <w:tcPr>
            <w:tcW w:w="1634" w:type="dxa"/>
            <w:vAlign w:val="center"/>
          </w:tcPr>
          <w:p w14:paraId="3BB22109">
            <w:pPr>
              <w:pStyle w:val="48"/>
            </w:pPr>
            <w:r>
              <w:rPr>
                <w:rFonts w:hint="eastAsia"/>
              </w:rPr>
              <w:t>保留</w:t>
            </w:r>
          </w:p>
        </w:tc>
      </w:tr>
      <w:tr w14:paraId="6A03AD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7590DA74">
            <w:pPr>
              <w:pStyle w:val="48"/>
            </w:pPr>
          </w:p>
        </w:tc>
        <w:tc>
          <w:tcPr>
            <w:tcW w:w="1133" w:type="dxa"/>
            <w:vAlign w:val="center"/>
          </w:tcPr>
          <w:p w14:paraId="1DBC96A0">
            <w:pPr>
              <w:pStyle w:val="48"/>
            </w:pPr>
            <w:r>
              <w:rPr>
                <w:rFonts w:hint="eastAsia"/>
              </w:rPr>
              <w:t>A-06</w:t>
            </w:r>
          </w:p>
        </w:tc>
        <w:tc>
          <w:tcPr>
            <w:tcW w:w="2190" w:type="dxa"/>
            <w:vAlign w:val="center"/>
          </w:tcPr>
          <w:p w14:paraId="4A5B3F99">
            <w:pPr>
              <w:pStyle w:val="48"/>
            </w:pPr>
            <w:r>
              <w:rPr>
                <w:rFonts w:hint="eastAsia"/>
              </w:rPr>
              <w:t>8.45</w:t>
            </w:r>
          </w:p>
        </w:tc>
        <w:tc>
          <w:tcPr>
            <w:tcW w:w="2190" w:type="dxa"/>
            <w:vAlign w:val="center"/>
          </w:tcPr>
          <w:p w14:paraId="5A8A33F3">
            <w:pPr>
              <w:pStyle w:val="48"/>
            </w:pPr>
            <w:r>
              <w:rPr>
                <w:rFonts w:hint="eastAsia"/>
              </w:rPr>
              <w:t>36班</w:t>
            </w:r>
          </w:p>
        </w:tc>
        <w:tc>
          <w:tcPr>
            <w:tcW w:w="1634" w:type="dxa"/>
            <w:vAlign w:val="center"/>
          </w:tcPr>
          <w:p w14:paraId="00211579">
            <w:pPr>
              <w:pStyle w:val="48"/>
            </w:pPr>
            <w:r>
              <w:rPr>
                <w:rFonts w:hint="eastAsia"/>
              </w:rPr>
              <w:t>保留</w:t>
            </w:r>
          </w:p>
        </w:tc>
      </w:tr>
      <w:tr w14:paraId="5CCA9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7CF8813D">
            <w:pPr>
              <w:pStyle w:val="48"/>
            </w:pPr>
          </w:p>
        </w:tc>
        <w:tc>
          <w:tcPr>
            <w:tcW w:w="1133" w:type="dxa"/>
            <w:vAlign w:val="center"/>
          </w:tcPr>
          <w:p w14:paraId="654D7EB7">
            <w:pPr>
              <w:pStyle w:val="48"/>
            </w:pPr>
            <w:r>
              <w:rPr>
                <w:rFonts w:hint="eastAsia"/>
              </w:rPr>
              <w:t>B-12</w:t>
            </w:r>
          </w:p>
        </w:tc>
        <w:tc>
          <w:tcPr>
            <w:tcW w:w="2190" w:type="dxa"/>
            <w:vAlign w:val="center"/>
          </w:tcPr>
          <w:p w14:paraId="1B840F3C">
            <w:pPr>
              <w:pStyle w:val="48"/>
            </w:pPr>
            <w:r>
              <w:rPr>
                <w:rFonts w:hint="eastAsia"/>
              </w:rPr>
              <w:t>2.89</w:t>
            </w:r>
          </w:p>
        </w:tc>
        <w:tc>
          <w:tcPr>
            <w:tcW w:w="2190" w:type="dxa"/>
            <w:vAlign w:val="center"/>
          </w:tcPr>
          <w:p w14:paraId="57C1E8D7">
            <w:pPr>
              <w:pStyle w:val="48"/>
            </w:pPr>
            <w:r>
              <w:rPr>
                <w:rFonts w:hint="eastAsia"/>
              </w:rPr>
              <w:t>24班</w:t>
            </w:r>
          </w:p>
        </w:tc>
        <w:tc>
          <w:tcPr>
            <w:tcW w:w="1634" w:type="dxa"/>
            <w:vAlign w:val="center"/>
          </w:tcPr>
          <w:p w14:paraId="5D5E3105">
            <w:pPr>
              <w:pStyle w:val="48"/>
            </w:pPr>
            <w:r>
              <w:rPr>
                <w:rFonts w:hint="eastAsia"/>
              </w:rPr>
              <w:t>扩建</w:t>
            </w:r>
          </w:p>
        </w:tc>
      </w:tr>
      <w:tr w14:paraId="3DE236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6A8E716E">
            <w:pPr>
              <w:pStyle w:val="48"/>
            </w:pPr>
          </w:p>
        </w:tc>
        <w:tc>
          <w:tcPr>
            <w:tcW w:w="1133" w:type="dxa"/>
            <w:vAlign w:val="center"/>
          </w:tcPr>
          <w:p w14:paraId="26296564">
            <w:pPr>
              <w:pStyle w:val="48"/>
            </w:pPr>
            <w:r>
              <w:rPr>
                <w:rFonts w:hint="eastAsia"/>
              </w:rPr>
              <w:t>C-16</w:t>
            </w:r>
          </w:p>
        </w:tc>
        <w:tc>
          <w:tcPr>
            <w:tcW w:w="2190" w:type="dxa"/>
            <w:vAlign w:val="center"/>
          </w:tcPr>
          <w:p w14:paraId="1FB15549">
            <w:pPr>
              <w:pStyle w:val="48"/>
            </w:pPr>
            <w:r>
              <w:rPr>
                <w:rFonts w:hint="eastAsia"/>
              </w:rPr>
              <w:t>3.07</w:t>
            </w:r>
          </w:p>
        </w:tc>
        <w:tc>
          <w:tcPr>
            <w:tcW w:w="2190" w:type="dxa"/>
            <w:vAlign w:val="center"/>
          </w:tcPr>
          <w:p w14:paraId="69FF52BE">
            <w:pPr>
              <w:pStyle w:val="48"/>
            </w:pPr>
            <w:r>
              <w:rPr>
                <w:rFonts w:hint="eastAsia"/>
              </w:rPr>
              <w:t>24班</w:t>
            </w:r>
          </w:p>
        </w:tc>
        <w:tc>
          <w:tcPr>
            <w:tcW w:w="1634" w:type="dxa"/>
            <w:vAlign w:val="center"/>
          </w:tcPr>
          <w:p w14:paraId="4B780DC6">
            <w:pPr>
              <w:pStyle w:val="48"/>
            </w:pPr>
            <w:r>
              <w:rPr>
                <w:rFonts w:hint="eastAsia"/>
              </w:rPr>
              <w:t>保留</w:t>
            </w:r>
          </w:p>
        </w:tc>
      </w:tr>
      <w:tr w14:paraId="3D71DD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49D95AD7">
            <w:pPr>
              <w:pStyle w:val="48"/>
            </w:pPr>
          </w:p>
        </w:tc>
        <w:tc>
          <w:tcPr>
            <w:tcW w:w="1133" w:type="dxa"/>
            <w:vAlign w:val="center"/>
          </w:tcPr>
          <w:p w14:paraId="7687737F">
            <w:pPr>
              <w:pStyle w:val="48"/>
            </w:pPr>
            <w:r>
              <w:rPr>
                <w:rFonts w:hint="eastAsia"/>
              </w:rPr>
              <w:t>C-37</w:t>
            </w:r>
          </w:p>
        </w:tc>
        <w:tc>
          <w:tcPr>
            <w:tcW w:w="2190" w:type="dxa"/>
            <w:vAlign w:val="center"/>
          </w:tcPr>
          <w:p w14:paraId="5BE3EAFB">
            <w:pPr>
              <w:pStyle w:val="48"/>
            </w:pPr>
            <w:r>
              <w:rPr>
                <w:rFonts w:hint="eastAsia"/>
              </w:rPr>
              <w:t>3.70</w:t>
            </w:r>
          </w:p>
        </w:tc>
        <w:tc>
          <w:tcPr>
            <w:tcW w:w="2190" w:type="dxa"/>
            <w:vAlign w:val="center"/>
          </w:tcPr>
          <w:p w14:paraId="3A8D85CA">
            <w:pPr>
              <w:pStyle w:val="48"/>
            </w:pPr>
            <w:r>
              <w:rPr>
                <w:rFonts w:hint="eastAsia"/>
              </w:rPr>
              <w:t>30班</w:t>
            </w:r>
          </w:p>
        </w:tc>
        <w:tc>
          <w:tcPr>
            <w:tcW w:w="1634" w:type="dxa"/>
            <w:vAlign w:val="center"/>
          </w:tcPr>
          <w:p w14:paraId="4CC756CF">
            <w:pPr>
              <w:pStyle w:val="48"/>
            </w:pPr>
            <w:r>
              <w:rPr>
                <w:rFonts w:hint="eastAsia"/>
              </w:rPr>
              <w:t>扩建</w:t>
            </w:r>
          </w:p>
        </w:tc>
      </w:tr>
      <w:tr w14:paraId="04748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restart"/>
            <w:vAlign w:val="center"/>
          </w:tcPr>
          <w:p w14:paraId="2491B747">
            <w:pPr>
              <w:pStyle w:val="48"/>
            </w:pPr>
            <w:r>
              <w:rPr>
                <w:rFonts w:hint="eastAsia"/>
              </w:rPr>
              <w:t>小学</w:t>
            </w:r>
          </w:p>
        </w:tc>
        <w:tc>
          <w:tcPr>
            <w:tcW w:w="1133" w:type="dxa"/>
            <w:vAlign w:val="center"/>
          </w:tcPr>
          <w:p w14:paraId="374ADFA1">
            <w:pPr>
              <w:pStyle w:val="48"/>
            </w:pPr>
            <w:r>
              <w:rPr>
                <w:rFonts w:hint="eastAsia"/>
              </w:rPr>
              <w:t>A-05</w:t>
            </w:r>
          </w:p>
        </w:tc>
        <w:tc>
          <w:tcPr>
            <w:tcW w:w="2190" w:type="dxa"/>
            <w:vAlign w:val="center"/>
          </w:tcPr>
          <w:p w14:paraId="49E46C8D">
            <w:pPr>
              <w:pStyle w:val="48"/>
            </w:pPr>
            <w:r>
              <w:rPr>
                <w:rFonts w:hint="eastAsia"/>
              </w:rPr>
              <w:t>1.59</w:t>
            </w:r>
          </w:p>
        </w:tc>
        <w:tc>
          <w:tcPr>
            <w:tcW w:w="2190" w:type="dxa"/>
            <w:vAlign w:val="center"/>
          </w:tcPr>
          <w:p w14:paraId="40011603">
            <w:pPr>
              <w:pStyle w:val="48"/>
            </w:pPr>
            <w:r>
              <w:rPr>
                <w:rFonts w:hint="eastAsia"/>
              </w:rPr>
              <w:t>12班</w:t>
            </w:r>
          </w:p>
        </w:tc>
        <w:tc>
          <w:tcPr>
            <w:tcW w:w="1634" w:type="dxa"/>
            <w:vAlign w:val="center"/>
          </w:tcPr>
          <w:p w14:paraId="60E4F558">
            <w:pPr>
              <w:pStyle w:val="48"/>
            </w:pPr>
            <w:r>
              <w:rPr>
                <w:rFonts w:hint="eastAsia"/>
              </w:rPr>
              <w:t>扩建</w:t>
            </w:r>
          </w:p>
        </w:tc>
      </w:tr>
      <w:tr w14:paraId="79859C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6013CD1A">
            <w:pPr>
              <w:pStyle w:val="48"/>
            </w:pPr>
          </w:p>
        </w:tc>
        <w:tc>
          <w:tcPr>
            <w:tcW w:w="1133" w:type="dxa"/>
            <w:vAlign w:val="center"/>
          </w:tcPr>
          <w:p w14:paraId="7A771B52">
            <w:pPr>
              <w:pStyle w:val="48"/>
            </w:pPr>
            <w:r>
              <w:rPr>
                <w:rFonts w:hint="eastAsia"/>
              </w:rPr>
              <w:t>B-05</w:t>
            </w:r>
          </w:p>
        </w:tc>
        <w:tc>
          <w:tcPr>
            <w:tcW w:w="2190" w:type="dxa"/>
            <w:vAlign w:val="center"/>
          </w:tcPr>
          <w:p w14:paraId="3E2E8B07">
            <w:pPr>
              <w:pStyle w:val="48"/>
            </w:pPr>
            <w:r>
              <w:rPr>
                <w:rFonts w:hint="eastAsia"/>
              </w:rPr>
              <w:t>4.25</w:t>
            </w:r>
          </w:p>
        </w:tc>
        <w:tc>
          <w:tcPr>
            <w:tcW w:w="2190" w:type="dxa"/>
            <w:vAlign w:val="center"/>
          </w:tcPr>
          <w:p w14:paraId="58DB9C23">
            <w:pPr>
              <w:pStyle w:val="48"/>
            </w:pPr>
            <w:r>
              <w:rPr>
                <w:rFonts w:hint="eastAsia"/>
              </w:rPr>
              <w:t>36班</w:t>
            </w:r>
          </w:p>
        </w:tc>
        <w:tc>
          <w:tcPr>
            <w:tcW w:w="1634" w:type="dxa"/>
            <w:vAlign w:val="center"/>
          </w:tcPr>
          <w:p w14:paraId="5B5BC62A">
            <w:pPr>
              <w:pStyle w:val="48"/>
            </w:pPr>
            <w:r>
              <w:rPr>
                <w:rFonts w:hint="eastAsia"/>
              </w:rPr>
              <w:t>保留</w:t>
            </w:r>
          </w:p>
        </w:tc>
      </w:tr>
      <w:tr w14:paraId="2E690C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629F296B">
            <w:pPr>
              <w:pStyle w:val="48"/>
            </w:pPr>
          </w:p>
        </w:tc>
        <w:tc>
          <w:tcPr>
            <w:tcW w:w="1133" w:type="dxa"/>
            <w:vAlign w:val="center"/>
          </w:tcPr>
          <w:p w14:paraId="71AC5310">
            <w:pPr>
              <w:pStyle w:val="48"/>
            </w:pPr>
            <w:r>
              <w:rPr>
                <w:rFonts w:hint="eastAsia"/>
              </w:rPr>
              <w:t>B-12</w:t>
            </w:r>
          </w:p>
        </w:tc>
        <w:tc>
          <w:tcPr>
            <w:tcW w:w="2190" w:type="dxa"/>
            <w:vAlign w:val="center"/>
          </w:tcPr>
          <w:p w14:paraId="2855294F">
            <w:pPr>
              <w:pStyle w:val="48"/>
            </w:pPr>
            <w:r>
              <w:rPr>
                <w:rFonts w:hint="eastAsia"/>
              </w:rPr>
              <w:t>1.01</w:t>
            </w:r>
          </w:p>
        </w:tc>
        <w:tc>
          <w:tcPr>
            <w:tcW w:w="2190" w:type="dxa"/>
            <w:vAlign w:val="center"/>
          </w:tcPr>
          <w:p w14:paraId="0BFFBEED">
            <w:pPr>
              <w:pStyle w:val="48"/>
            </w:pPr>
            <w:r>
              <w:rPr>
                <w:rFonts w:hint="eastAsia"/>
              </w:rPr>
              <w:t>12班</w:t>
            </w:r>
          </w:p>
        </w:tc>
        <w:tc>
          <w:tcPr>
            <w:tcW w:w="1634" w:type="dxa"/>
            <w:vAlign w:val="center"/>
          </w:tcPr>
          <w:p w14:paraId="1288C0A1">
            <w:pPr>
              <w:pStyle w:val="48"/>
            </w:pPr>
            <w:r>
              <w:rPr>
                <w:rFonts w:hint="eastAsia"/>
              </w:rPr>
              <w:t>扩建</w:t>
            </w:r>
          </w:p>
        </w:tc>
      </w:tr>
      <w:tr w14:paraId="4A678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103E6BB4">
            <w:pPr>
              <w:pStyle w:val="48"/>
            </w:pPr>
          </w:p>
        </w:tc>
        <w:tc>
          <w:tcPr>
            <w:tcW w:w="1133" w:type="dxa"/>
            <w:vAlign w:val="center"/>
          </w:tcPr>
          <w:p w14:paraId="76B29882">
            <w:pPr>
              <w:pStyle w:val="48"/>
            </w:pPr>
            <w:r>
              <w:rPr>
                <w:rFonts w:hint="eastAsia"/>
              </w:rPr>
              <w:t>B-21</w:t>
            </w:r>
          </w:p>
        </w:tc>
        <w:tc>
          <w:tcPr>
            <w:tcW w:w="2190" w:type="dxa"/>
            <w:vAlign w:val="center"/>
          </w:tcPr>
          <w:p w14:paraId="0D8B40D5">
            <w:pPr>
              <w:pStyle w:val="48"/>
            </w:pPr>
            <w:r>
              <w:rPr>
                <w:rFonts w:hint="eastAsia"/>
              </w:rPr>
              <w:t>1.74</w:t>
            </w:r>
          </w:p>
        </w:tc>
        <w:tc>
          <w:tcPr>
            <w:tcW w:w="2190" w:type="dxa"/>
            <w:vAlign w:val="center"/>
          </w:tcPr>
          <w:p w14:paraId="334764D1">
            <w:pPr>
              <w:pStyle w:val="48"/>
            </w:pPr>
            <w:r>
              <w:rPr>
                <w:rFonts w:hint="eastAsia"/>
              </w:rPr>
              <w:t>12班</w:t>
            </w:r>
          </w:p>
        </w:tc>
        <w:tc>
          <w:tcPr>
            <w:tcW w:w="1634" w:type="dxa"/>
            <w:vAlign w:val="center"/>
          </w:tcPr>
          <w:p w14:paraId="117FCCC1">
            <w:pPr>
              <w:pStyle w:val="48"/>
            </w:pPr>
            <w:r>
              <w:rPr>
                <w:rFonts w:hint="eastAsia"/>
              </w:rPr>
              <w:t>扩建</w:t>
            </w:r>
          </w:p>
        </w:tc>
      </w:tr>
      <w:tr w14:paraId="613E2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5B20583C">
            <w:pPr>
              <w:pStyle w:val="48"/>
            </w:pPr>
          </w:p>
        </w:tc>
        <w:tc>
          <w:tcPr>
            <w:tcW w:w="1133" w:type="dxa"/>
            <w:vAlign w:val="center"/>
          </w:tcPr>
          <w:p w14:paraId="1D72D07C">
            <w:pPr>
              <w:pStyle w:val="48"/>
            </w:pPr>
            <w:r>
              <w:rPr>
                <w:rFonts w:hint="eastAsia"/>
              </w:rPr>
              <w:t>B-20</w:t>
            </w:r>
          </w:p>
        </w:tc>
        <w:tc>
          <w:tcPr>
            <w:tcW w:w="2190" w:type="dxa"/>
            <w:vAlign w:val="center"/>
          </w:tcPr>
          <w:p w14:paraId="75E14DAC">
            <w:pPr>
              <w:pStyle w:val="48"/>
            </w:pPr>
            <w:r>
              <w:rPr>
                <w:rFonts w:hint="eastAsia"/>
              </w:rPr>
              <w:t>2.77</w:t>
            </w:r>
          </w:p>
        </w:tc>
        <w:tc>
          <w:tcPr>
            <w:tcW w:w="2190" w:type="dxa"/>
            <w:vAlign w:val="center"/>
          </w:tcPr>
          <w:p w14:paraId="6F0D7972">
            <w:pPr>
              <w:pStyle w:val="48"/>
            </w:pPr>
            <w:r>
              <w:rPr>
                <w:rFonts w:hint="eastAsia"/>
              </w:rPr>
              <w:t>24班</w:t>
            </w:r>
          </w:p>
        </w:tc>
        <w:tc>
          <w:tcPr>
            <w:tcW w:w="1634" w:type="dxa"/>
            <w:vAlign w:val="center"/>
          </w:tcPr>
          <w:p w14:paraId="28964BCB">
            <w:pPr>
              <w:pStyle w:val="48"/>
            </w:pPr>
            <w:r>
              <w:rPr>
                <w:rFonts w:hint="eastAsia"/>
              </w:rPr>
              <w:t>新建</w:t>
            </w:r>
          </w:p>
        </w:tc>
      </w:tr>
      <w:tr w14:paraId="2E0BD0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29890DE0">
            <w:pPr>
              <w:pStyle w:val="48"/>
            </w:pPr>
          </w:p>
        </w:tc>
        <w:tc>
          <w:tcPr>
            <w:tcW w:w="1133" w:type="dxa"/>
            <w:vAlign w:val="center"/>
          </w:tcPr>
          <w:p w14:paraId="5AAB2D9D">
            <w:pPr>
              <w:pStyle w:val="48"/>
            </w:pPr>
            <w:r>
              <w:rPr>
                <w:rFonts w:hint="eastAsia"/>
              </w:rPr>
              <w:t>B-29</w:t>
            </w:r>
          </w:p>
        </w:tc>
        <w:tc>
          <w:tcPr>
            <w:tcW w:w="2190" w:type="dxa"/>
            <w:vAlign w:val="center"/>
          </w:tcPr>
          <w:p w14:paraId="5664A535">
            <w:pPr>
              <w:pStyle w:val="48"/>
            </w:pPr>
            <w:r>
              <w:rPr>
                <w:rFonts w:hint="eastAsia"/>
              </w:rPr>
              <w:t>1.96</w:t>
            </w:r>
          </w:p>
        </w:tc>
        <w:tc>
          <w:tcPr>
            <w:tcW w:w="2190" w:type="dxa"/>
            <w:vAlign w:val="center"/>
          </w:tcPr>
          <w:p w14:paraId="4DADC382">
            <w:pPr>
              <w:pStyle w:val="48"/>
            </w:pPr>
            <w:r>
              <w:rPr>
                <w:rFonts w:hint="eastAsia"/>
              </w:rPr>
              <w:t>18班</w:t>
            </w:r>
          </w:p>
        </w:tc>
        <w:tc>
          <w:tcPr>
            <w:tcW w:w="1634" w:type="dxa"/>
            <w:vAlign w:val="center"/>
          </w:tcPr>
          <w:p w14:paraId="32853B51">
            <w:pPr>
              <w:pStyle w:val="48"/>
            </w:pPr>
            <w:r>
              <w:rPr>
                <w:rFonts w:hint="eastAsia"/>
              </w:rPr>
              <w:t>扩建</w:t>
            </w:r>
          </w:p>
        </w:tc>
      </w:tr>
      <w:tr w14:paraId="7A141D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208CBA21">
            <w:pPr>
              <w:pStyle w:val="48"/>
            </w:pPr>
          </w:p>
        </w:tc>
        <w:tc>
          <w:tcPr>
            <w:tcW w:w="1133" w:type="dxa"/>
            <w:vAlign w:val="center"/>
          </w:tcPr>
          <w:p w14:paraId="05A07CE0">
            <w:pPr>
              <w:pStyle w:val="48"/>
            </w:pPr>
            <w:r>
              <w:rPr>
                <w:rFonts w:hint="eastAsia"/>
              </w:rPr>
              <w:t>C-10</w:t>
            </w:r>
          </w:p>
        </w:tc>
        <w:tc>
          <w:tcPr>
            <w:tcW w:w="2190" w:type="dxa"/>
            <w:vAlign w:val="center"/>
          </w:tcPr>
          <w:p w14:paraId="683D598D">
            <w:pPr>
              <w:pStyle w:val="48"/>
            </w:pPr>
            <w:r>
              <w:rPr>
                <w:rFonts w:hint="eastAsia"/>
              </w:rPr>
              <w:t>0.85</w:t>
            </w:r>
          </w:p>
        </w:tc>
        <w:tc>
          <w:tcPr>
            <w:tcW w:w="2190" w:type="dxa"/>
            <w:vAlign w:val="center"/>
          </w:tcPr>
          <w:p w14:paraId="08E5483A">
            <w:pPr>
              <w:pStyle w:val="48"/>
            </w:pPr>
            <w:r>
              <w:rPr>
                <w:rFonts w:hint="eastAsia"/>
              </w:rPr>
              <w:t>12班</w:t>
            </w:r>
          </w:p>
        </w:tc>
        <w:tc>
          <w:tcPr>
            <w:tcW w:w="1634" w:type="dxa"/>
            <w:vAlign w:val="center"/>
          </w:tcPr>
          <w:p w14:paraId="2A9EBD23">
            <w:pPr>
              <w:pStyle w:val="48"/>
            </w:pPr>
            <w:r>
              <w:rPr>
                <w:rFonts w:hint="eastAsia"/>
              </w:rPr>
              <w:t>新建</w:t>
            </w:r>
          </w:p>
        </w:tc>
      </w:tr>
      <w:tr w14:paraId="641912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12C757AC">
            <w:pPr>
              <w:pStyle w:val="48"/>
            </w:pPr>
          </w:p>
        </w:tc>
        <w:tc>
          <w:tcPr>
            <w:tcW w:w="1133" w:type="dxa"/>
            <w:vAlign w:val="center"/>
          </w:tcPr>
          <w:p w14:paraId="696B86A8">
            <w:pPr>
              <w:pStyle w:val="48"/>
            </w:pPr>
            <w:r>
              <w:rPr>
                <w:rFonts w:hint="eastAsia"/>
              </w:rPr>
              <w:t>C-15</w:t>
            </w:r>
          </w:p>
        </w:tc>
        <w:tc>
          <w:tcPr>
            <w:tcW w:w="2190" w:type="dxa"/>
            <w:vAlign w:val="center"/>
          </w:tcPr>
          <w:p w14:paraId="4126498A">
            <w:pPr>
              <w:pStyle w:val="48"/>
            </w:pPr>
            <w:r>
              <w:rPr>
                <w:rFonts w:hint="eastAsia"/>
              </w:rPr>
              <w:t>1.18</w:t>
            </w:r>
          </w:p>
        </w:tc>
        <w:tc>
          <w:tcPr>
            <w:tcW w:w="2190" w:type="dxa"/>
            <w:vAlign w:val="center"/>
          </w:tcPr>
          <w:p w14:paraId="6DB0FFCD">
            <w:pPr>
              <w:pStyle w:val="48"/>
            </w:pPr>
            <w:r>
              <w:rPr>
                <w:rFonts w:hint="eastAsia"/>
              </w:rPr>
              <w:t>12班</w:t>
            </w:r>
          </w:p>
        </w:tc>
        <w:tc>
          <w:tcPr>
            <w:tcW w:w="1634" w:type="dxa"/>
            <w:vAlign w:val="center"/>
          </w:tcPr>
          <w:p w14:paraId="5886EC1B">
            <w:pPr>
              <w:pStyle w:val="48"/>
            </w:pPr>
            <w:r>
              <w:rPr>
                <w:rFonts w:hint="eastAsia"/>
              </w:rPr>
              <w:t>扩建</w:t>
            </w:r>
          </w:p>
        </w:tc>
      </w:tr>
      <w:tr w14:paraId="02B159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41D43BB3">
            <w:pPr>
              <w:pStyle w:val="48"/>
            </w:pPr>
          </w:p>
        </w:tc>
        <w:tc>
          <w:tcPr>
            <w:tcW w:w="1133" w:type="dxa"/>
            <w:vAlign w:val="center"/>
          </w:tcPr>
          <w:p w14:paraId="4450CB4E">
            <w:pPr>
              <w:pStyle w:val="48"/>
            </w:pPr>
            <w:r>
              <w:rPr>
                <w:rFonts w:hint="eastAsia"/>
              </w:rPr>
              <w:t>C-17</w:t>
            </w:r>
          </w:p>
        </w:tc>
        <w:tc>
          <w:tcPr>
            <w:tcW w:w="2190" w:type="dxa"/>
            <w:vAlign w:val="center"/>
          </w:tcPr>
          <w:p w14:paraId="76CBF0E8">
            <w:pPr>
              <w:pStyle w:val="48"/>
            </w:pPr>
            <w:r>
              <w:rPr>
                <w:rFonts w:hint="eastAsia"/>
              </w:rPr>
              <w:t>2.06</w:t>
            </w:r>
          </w:p>
        </w:tc>
        <w:tc>
          <w:tcPr>
            <w:tcW w:w="2190" w:type="dxa"/>
            <w:vAlign w:val="center"/>
          </w:tcPr>
          <w:p w14:paraId="517EE628">
            <w:pPr>
              <w:pStyle w:val="48"/>
            </w:pPr>
            <w:r>
              <w:rPr>
                <w:rFonts w:hint="eastAsia"/>
              </w:rPr>
              <w:t>18班</w:t>
            </w:r>
          </w:p>
        </w:tc>
        <w:tc>
          <w:tcPr>
            <w:tcW w:w="1634" w:type="dxa"/>
            <w:vAlign w:val="center"/>
          </w:tcPr>
          <w:p w14:paraId="3EC71832">
            <w:pPr>
              <w:pStyle w:val="48"/>
            </w:pPr>
            <w:r>
              <w:rPr>
                <w:rFonts w:hint="eastAsia"/>
              </w:rPr>
              <w:t>扩建</w:t>
            </w:r>
          </w:p>
        </w:tc>
      </w:tr>
      <w:tr w14:paraId="38B41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14152010">
            <w:pPr>
              <w:pStyle w:val="48"/>
            </w:pPr>
          </w:p>
        </w:tc>
        <w:tc>
          <w:tcPr>
            <w:tcW w:w="1133" w:type="dxa"/>
            <w:vAlign w:val="center"/>
          </w:tcPr>
          <w:p w14:paraId="2F26A59B">
            <w:pPr>
              <w:pStyle w:val="48"/>
            </w:pPr>
            <w:r>
              <w:rPr>
                <w:rFonts w:hint="eastAsia"/>
              </w:rPr>
              <w:t>C-21</w:t>
            </w:r>
          </w:p>
        </w:tc>
        <w:tc>
          <w:tcPr>
            <w:tcW w:w="2190" w:type="dxa"/>
            <w:vAlign w:val="center"/>
          </w:tcPr>
          <w:p w14:paraId="1E1AE8E7">
            <w:pPr>
              <w:pStyle w:val="48"/>
            </w:pPr>
            <w:r>
              <w:rPr>
                <w:rFonts w:hint="eastAsia"/>
              </w:rPr>
              <w:t>0.9</w:t>
            </w:r>
          </w:p>
        </w:tc>
        <w:tc>
          <w:tcPr>
            <w:tcW w:w="2190" w:type="dxa"/>
            <w:vAlign w:val="center"/>
          </w:tcPr>
          <w:p w14:paraId="62CCF50B">
            <w:pPr>
              <w:pStyle w:val="48"/>
            </w:pPr>
            <w:r>
              <w:rPr>
                <w:rFonts w:hint="eastAsia"/>
              </w:rPr>
              <w:t>12班</w:t>
            </w:r>
          </w:p>
        </w:tc>
        <w:tc>
          <w:tcPr>
            <w:tcW w:w="1634" w:type="dxa"/>
            <w:vAlign w:val="center"/>
          </w:tcPr>
          <w:p w14:paraId="1978D7A4">
            <w:pPr>
              <w:pStyle w:val="48"/>
            </w:pPr>
            <w:r>
              <w:rPr>
                <w:rFonts w:hint="eastAsia"/>
              </w:rPr>
              <w:t>保留</w:t>
            </w:r>
          </w:p>
        </w:tc>
      </w:tr>
      <w:tr w14:paraId="4EBD9A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29F99BBE">
            <w:pPr>
              <w:pStyle w:val="48"/>
            </w:pPr>
          </w:p>
        </w:tc>
        <w:tc>
          <w:tcPr>
            <w:tcW w:w="1133" w:type="dxa"/>
            <w:vAlign w:val="center"/>
          </w:tcPr>
          <w:p w14:paraId="12DBFF29">
            <w:pPr>
              <w:pStyle w:val="48"/>
            </w:pPr>
            <w:r>
              <w:rPr>
                <w:rFonts w:hint="eastAsia"/>
              </w:rPr>
              <w:t>C-34</w:t>
            </w:r>
          </w:p>
        </w:tc>
        <w:tc>
          <w:tcPr>
            <w:tcW w:w="2190" w:type="dxa"/>
            <w:vAlign w:val="center"/>
          </w:tcPr>
          <w:p w14:paraId="3B4518DC">
            <w:pPr>
              <w:pStyle w:val="48"/>
            </w:pPr>
            <w:r>
              <w:rPr>
                <w:rFonts w:hint="eastAsia"/>
              </w:rPr>
              <w:t>1.61</w:t>
            </w:r>
          </w:p>
        </w:tc>
        <w:tc>
          <w:tcPr>
            <w:tcW w:w="2190" w:type="dxa"/>
            <w:vAlign w:val="center"/>
          </w:tcPr>
          <w:p w14:paraId="0097D01F">
            <w:pPr>
              <w:pStyle w:val="48"/>
            </w:pPr>
            <w:r>
              <w:rPr>
                <w:rFonts w:hint="eastAsia"/>
              </w:rPr>
              <w:t>12班</w:t>
            </w:r>
          </w:p>
        </w:tc>
        <w:tc>
          <w:tcPr>
            <w:tcW w:w="1634" w:type="dxa"/>
            <w:vAlign w:val="center"/>
          </w:tcPr>
          <w:p w14:paraId="5116DE3B">
            <w:pPr>
              <w:pStyle w:val="48"/>
            </w:pPr>
            <w:r>
              <w:rPr>
                <w:rFonts w:hint="eastAsia"/>
              </w:rPr>
              <w:t>保留</w:t>
            </w:r>
          </w:p>
        </w:tc>
      </w:tr>
      <w:tr w14:paraId="2B9E20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5BFD8838">
            <w:pPr>
              <w:pStyle w:val="48"/>
            </w:pPr>
          </w:p>
        </w:tc>
        <w:tc>
          <w:tcPr>
            <w:tcW w:w="1133" w:type="dxa"/>
            <w:vAlign w:val="center"/>
          </w:tcPr>
          <w:p w14:paraId="293D5F7A">
            <w:pPr>
              <w:pStyle w:val="48"/>
            </w:pPr>
            <w:r>
              <w:rPr>
                <w:rFonts w:hint="eastAsia"/>
              </w:rPr>
              <w:t>D-04</w:t>
            </w:r>
          </w:p>
        </w:tc>
        <w:tc>
          <w:tcPr>
            <w:tcW w:w="2190" w:type="dxa"/>
            <w:vAlign w:val="center"/>
          </w:tcPr>
          <w:p w14:paraId="769FE9FE">
            <w:pPr>
              <w:pStyle w:val="48"/>
            </w:pPr>
            <w:r>
              <w:rPr>
                <w:rFonts w:hint="eastAsia"/>
              </w:rPr>
              <w:t>1.54</w:t>
            </w:r>
          </w:p>
        </w:tc>
        <w:tc>
          <w:tcPr>
            <w:tcW w:w="2190" w:type="dxa"/>
            <w:vAlign w:val="center"/>
          </w:tcPr>
          <w:p w14:paraId="4FAB30F3">
            <w:pPr>
              <w:pStyle w:val="48"/>
            </w:pPr>
            <w:r>
              <w:rPr>
                <w:rFonts w:hint="eastAsia"/>
              </w:rPr>
              <w:t>12班</w:t>
            </w:r>
          </w:p>
        </w:tc>
        <w:tc>
          <w:tcPr>
            <w:tcW w:w="1634" w:type="dxa"/>
            <w:vAlign w:val="center"/>
          </w:tcPr>
          <w:p w14:paraId="0DFFFB31">
            <w:pPr>
              <w:pStyle w:val="48"/>
            </w:pPr>
            <w:r>
              <w:rPr>
                <w:rFonts w:hint="eastAsia"/>
              </w:rPr>
              <w:t>新建</w:t>
            </w:r>
          </w:p>
        </w:tc>
      </w:tr>
      <w:tr w14:paraId="0B5E7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8" w:hRule="atLeast"/>
        </w:trPr>
        <w:tc>
          <w:tcPr>
            <w:tcW w:w="1660" w:type="dxa"/>
            <w:vMerge w:val="continue"/>
            <w:vAlign w:val="center"/>
          </w:tcPr>
          <w:p w14:paraId="38D27BBE">
            <w:pPr>
              <w:pStyle w:val="48"/>
            </w:pPr>
          </w:p>
        </w:tc>
        <w:tc>
          <w:tcPr>
            <w:tcW w:w="1133" w:type="dxa"/>
            <w:vAlign w:val="center"/>
          </w:tcPr>
          <w:p w14:paraId="05010CED">
            <w:pPr>
              <w:pStyle w:val="48"/>
            </w:pPr>
            <w:r>
              <w:rPr>
                <w:rFonts w:hint="eastAsia"/>
              </w:rPr>
              <w:t>D-10</w:t>
            </w:r>
          </w:p>
        </w:tc>
        <w:tc>
          <w:tcPr>
            <w:tcW w:w="2190" w:type="dxa"/>
            <w:vAlign w:val="center"/>
          </w:tcPr>
          <w:p w14:paraId="3275CA33">
            <w:pPr>
              <w:pStyle w:val="48"/>
            </w:pPr>
            <w:r>
              <w:rPr>
                <w:rFonts w:hint="eastAsia"/>
              </w:rPr>
              <w:t>0.55</w:t>
            </w:r>
          </w:p>
        </w:tc>
        <w:tc>
          <w:tcPr>
            <w:tcW w:w="2190" w:type="dxa"/>
            <w:vAlign w:val="center"/>
          </w:tcPr>
          <w:p w14:paraId="2E3B9B30">
            <w:pPr>
              <w:pStyle w:val="48"/>
            </w:pPr>
            <w:r>
              <w:rPr>
                <w:rFonts w:hint="eastAsia"/>
              </w:rPr>
              <w:t>6班</w:t>
            </w:r>
          </w:p>
        </w:tc>
        <w:tc>
          <w:tcPr>
            <w:tcW w:w="1634" w:type="dxa"/>
            <w:vAlign w:val="center"/>
          </w:tcPr>
          <w:p w14:paraId="7BF0B26F">
            <w:pPr>
              <w:pStyle w:val="48"/>
            </w:pPr>
            <w:r>
              <w:rPr>
                <w:rFonts w:hint="eastAsia"/>
              </w:rPr>
              <w:t>保留</w:t>
            </w:r>
          </w:p>
        </w:tc>
      </w:tr>
    </w:tbl>
    <w:p w14:paraId="777852DE">
      <w:pPr>
        <w:pStyle w:val="39"/>
        <w:spacing w:line="580" w:lineRule="exact"/>
        <w:rPr>
          <w:rFonts w:ascii="宋体" w:hAnsi="宋体" w:eastAsia="宋体"/>
        </w:rPr>
      </w:pPr>
      <w:r>
        <w:rPr>
          <w:rFonts w:ascii="宋体" w:hAnsi="宋体" w:eastAsia="宋体"/>
        </w:rPr>
        <w:t>4</w:t>
      </w:r>
      <w:r>
        <w:rPr>
          <w:rFonts w:hint="eastAsia" w:ascii="宋体" w:hAnsi="宋体" w:eastAsia="宋体"/>
        </w:rPr>
        <w:t>、体育用地（A4）</w:t>
      </w:r>
    </w:p>
    <w:p w14:paraId="09BC9932">
      <w:pPr>
        <w:pStyle w:val="39"/>
        <w:spacing w:line="580" w:lineRule="exact"/>
        <w:rPr>
          <w:rFonts w:ascii="宋体" w:hAnsi="宋体" w:eastAsia="宋体"/>
        </w:rPr>
      </w:pPr>
      <w:r>
        <w:rPr>
          <w:rFonts w:hint="eastAsia" w:ascii="宋体" w:hAnsi="宋体" w:eastAsia="宋体"/>
        </w:rPr>
        <w:t>城区共规划体育设施用地按照服务半径1000米设置，共设置体育设施6处，实现城区全覆盖。规划体育设施用地面积为8.07公顷，占总建设用地的0.77%，人均0.82平方米。</w:t>
      </w:r>
    </w:p>
    <w:p w14:paraId="6CE41786">
      <w:pPr>
        <w:pStyle w:val="39"/>
        <w:spacing w:line="580" w:lineRule="exact"/>
        <w:rPr>
          <w:rFonts w:ascii="宋体" w:hAnsi="宋体" w:eastAsia="宋体"/>
        </w:rPr>
      </w:pPr>
      <w:r>
        <w:rPr>
          <w:rFonts w:ascii="宋体" w:hAnsi="宋体" w:eastAsia="宋体"/>
        </w:rPr>
        <w:t>5</w:t>
      </w:r>
      <w:r>
        <w:rPr>
          <w:rFonts w:hint="eastAsia" w:ascii="宋体" w:hAnsi="宋体" w:eastAsia="宋体"/>
        </w:rPr>
        <w:t>、医疗卫生用地（A5）</w:t>
      </w:r>
    </w:p>
    <w:p w14:paraId="216BD02C">
      <w:pPr>
        <w:pStyle w:val="47"/>
        <w:spacing w:line="580" w:lineRule="exact"/>
        <w:rPr>
          <w:shd w:val="clear" w:color="auto" w:fill="FFFFFF" w:themeFill="background1"/>
        </w:rPr>
      </w:pPr>
      <w:r>
        <w:rPr>
          <w:rFonts w:hint="eastAsia"/>
          <w:shd w:val="clear" w:color="auto" w:fill="FFFFFF" w:themeFill="background1"/>
        </w:rPr>
        <w:t>规划设置一处县级综合性医院（地块D-04，用地规模1.75公顷），服务人口规模为</w:t>
      </w:r>
      <w:r>
        <w:rPr>
          <w:shd w:val="clear" w:color="auto" w:fill="FFFFFF" w:themeFill="background1"/>
        </w:rPr>
        <w:t>9.9</w:t>
      </w:r>
      <w:r>
        <w:rPr>
          <w:rFonts w:hint="eastAsia"/>
          <w:shd w:val="clear" w:color="auto" w:fill="FFFFFF" w:themeFill="background1"/>
        </w:rPr>
        <w:t>万人，床位不少于200床。医院用地共设置8处，总用地面积10.08公顷。</w:t>
      </w:r>
    </w:p>
    <w:p w14:paraId="1CEBD85C">
      <w:pPr>
        <w:pStyle w:val="39"/>
        <w:spacing w:line="580" w:lineRule="exact"/>
        <w:rPr>
          <w:rFonts w:ascii="宋体" w:hAnsi="宋体" w:eastAsia="宋体"/>
        </w:rPr>
      </w:pPr>
      <w:r>
        <w:rPr>
          <w:rFonts w:ascii="宋体" w:hAnsi="宋体" w:eastAsia="宋体"/>
        </w:rPr>
        <w:t>6</w:t>
      </w:r>
      <w:r>
        <w:rPr>
          <w:rFonts w:hint="eastAsia" w:ascii="宋体" w:hAnsi="宋体" w:eastAsia="宋体"/>
        </w:rPr>
        <w:t>、社会福利设施（A6）</w:t>
      </w:r>
    </w:p>
    <w:p w14:paraId="725FDD03">
      <w:pPr>
        <w:pStyle w:val="39"/>
        <w:spacing w:line="580" w:lineRule="exact"/>
        <w:rPr>
          <w:rFonts w:ascii="宋体" w:hAnsi="宋体" w:eastAsia="宋体"/>
        </w:rPr>
      </w:pPr>
      <w:r>
        <w:rPr>
          <w:rFonts w:hint="eastAsia" w:ascii="宋体" w:hAnsi="宋体" w:eastAsia="宋体"/>
        </w:rPr>
        <w:t>城区内社会福利设施共2处，分别位于南岭街与古陵路交叉口东北、黄围街与东外环交叉口东南，用地面积1.13公顷，占总建设用地的0.11。</w:t>
      </w:r>
    </w:p>
    <w:p w14:paraId="5C664F75">
      <w:pPr>
        <w:pStyle w:val="39"/>
        <w:spacing w:line="580" w:lineRule="exact"/>
        <w:rPr>
          <w:rFonts w:ascii="宋体" w:hAnsi="宋体" w:eastAsia="宋体"/>
        </w:rPr>
      </w:pPr>
      <w:r>
        <w:rPr>
          <w:rFonts w:ascii="宋体" w:hAnsi="宋体" w:eastAsia="宋体"/>
        </w:rPr>
        <w:t>7</w:t>
      </w:r>
      <w:r>
        <w:rPr>
          <w:rFonts w:hint="eastAsia" w:ascii="宋体" w:hAnsi="宋体" w:eastAsia="宋体"/>
        </w:rPr>
        <w:t>、文物古迹用地（A7）</w:t>
      </w:r>
    </w:p>
    <w:p w14:paraId="0ABA2C7F">
      <w:pPr>
        <w:pStyle w:val="39"/>
        <w:spacing w:line="580" w:lineRule="exact"/>
        <w:rPr>
          <w:rFonts w:ascii="宋体" w:hAnsi="宋体" w:eastAsia="宋体"/>
        </w:rPr>
      </w:pPr>
      <w:r>
        <w:rPr>
          <w:rFonts w:hint="eastAsia" w:ascii="宋体" w:hAnsi="宋体" w:eastAsia="宋体"/>
        </w:rPr>
        <w:t>城区范围内的文物保护单位有崇安寺、春秋阁、魁星楼3处。文物古迹用地面积2.28公顷，占建设用地总面积的0.22%。</w:t>
      </w:r>
    </w:p>
    <w:p w14:paraId="604EF929">
      <w:pPr>
        <w:pStyle w:val="39"/>
        <w:spacing w:line="580" w:lineRule="exact"/>
        <w:rPr>
          <w:rFonts w:ascii="宋体" w:hAnsi="宋体" w:eastAsia="宋体"/>
        </w:rPr>
      </w:pPr>
      <w:r>
        <w:rPr>
          <w:rFonts w:hint="eastAsia" w:ascii="宋体" w:hAnsi="宋体" w:eastAsia="宋体"/>
        </w:rPr>
        <w:t>其中，以崇安寺的院墙作为保护范围，崇安寺南测围墙向南至崇安西街，北侧围墙向北至复元路为崇安寺一类建设控制地带；东至望洛路、西至复原路为二类建设控制地带；崇安寺以南，东至望洛路、西至崇西北路、南至梅园东街、北至崇安西街围合的部分为环境协调区，开发时不得改变控制界限。以春秋阁建筑外轮廓线作为保护范围，保护范围向外扩展15米作为建设控制地带，开发时不宜改变。以魁星阁建筑外轮廓线作为保护范围，保护阀内向外扩展15米作为建筑控制地带，开发时不宜改变。</w:t>
      </w:r>
    </w:p>
    <w:p w14:paraId="0A491422">
      <w:pPr>
        <w:pStyle w:val="39"/>
        <w:spacing w:line="580" w:lineRule="exact"/>
        <w:rPr>
          <w:rFonts w:ascii="宋体" w:hAnsi="宋体" w:eastAsia="宋体"/>
        </w:rPr>
      </w:pPr>
      <w:r>
        <w:rPr>
          <w:rFonts w:hint="eastAsia" w:ascii="宋体" w:hAnsi="宋体" w:eastAsia="宋体"/>
        </w:rPr>
        <w:t>文物古迹用地周边地块、环境协调区外围地块建筑均应充分考虑与文物古迹建筑的风貌协调、高度协调，与周边公园、绿线相结合；在B-16、B-26、B-27、B-28地块规划历史文化街区、历史文化步行廊道，形成具有历史文化记忆和文化功能的公共开放空间，同时在步行长廊可以植入具有陵川文化特色的商业业态，为周边城市更新提供动力，提供就业岗位，推动旧城更新。</w:t>
      </w:r>
    </w:p>
    <w:p w14:paraId="04C7606C">
      <w:pPr>
        <w:pStyle w:val="39"/>
        <w:spacing w:line="580" w:lineRule="exact"/>
        <w:rPr>
          <w:rFonts w:ascii="宋体" w:hAnsi="宋体" w:eastAsia="宋体"/>
        </w:rPr>
      </w:pPr>
      <w:r>
        <w:rPr>
          <w:rFonts w:ascii="宋体" w:hAnsi="宋体" w:eastAsia="宋体"/>
        </w:rPr>
        <w:t>8</w:t>
      </w:r>
      <w:r>
        <w:rPr>
          <w:rFonts w:hint="eastAsia" w:ascii="宋体" w:hAnsi="宋体" w:eastAsia="宋体"/>
        </w:rPr>
        <w:t>、邻里中心——组团服务中心</w:t>
      </w:r>
    </w:p>
    <w:p w14:paraId="3D87E982">
      <w:pPr>
        <w:pStyle w:val="39"/>
        <w:spacing w:line="580" w:lineRule="exact"/>
        <w:rPr>
          <w:rFonts w:ascii="宋体" w:hAnsi="宋体" w:eastAsia="宋体"/>
        </w:rPr>
      </w:pPr>
      <w:r>
        <w:rPr>
          <w:rFonts w:hint="eastAsia" w:ascii="宋体" w:hAnsi="宋体" w:eastAsia="宋体"/>
        </w:rPr>
        <w:t>规划在12个邻里中心内共设置三级服务设施用地12处，主要功能包括社区办公、派出所、文化站、体育休闲中心、社区卫生服务站等。该类用地面积共计7.44公顷。</w:t>
      </w:r>
    </w:p>
    <w:p w14:paraId="5F0972D9">
      <w:pPr>
        <w:pStyle w:val="39"/>
        <w:spacing w:line="580" w:lineRule="exact"/>
        <w:rPr>
          <w:rFonts w:ascii="宋体" w:hAnsi="宋体" w:eastAsia="宋体"/>
        </w:rPr>
      </w:pPr>
      <w:r>
        <w:rPr>
          <w:rFonts w:ascii="宋体" w:hAnsi="宋体" w:eastAsia="宋体"/>
        </w:rPr>
        <w:t>9</w:t>
      </w:r>
      <w:r>
        <w:rPr>
          <w:rFonts w:hint="eastAsia" w:ascii="宋体" w:hAnsi="宋体" w:eastAsia="宋体"/>
        </w:rPr>
        <w:t>、建设要求</w:t>
      </w:r>
    </w:p>
    <w:p w14:paraId="0C7F22D5">
      <w:pPr>
        <w:pStyle w:val="39"/>
        <w:spacing w:line="580" w:lineRule="exact"/>
        <w:rPr>
          <w:rFonts w:ascii="宋体" w:hAnsi="宋体" w:eastAsia="宋体"/>
        </w:rPr>
      </w:pPr>
      <w:r>
        <w:rPr>
          <w:rFonts w:hint="eastAsia" w:ascii="宋体" w:hAnsi="宋体" w:eastAsia="宋体"/>
        </w:rPr>
        <w:t>公共服务设施用地规模不得减少，位置可在街区内进行微调，必须满足服务半径的要求；用地边界在总量不变的前提下，可进行调整。</w:t>
      </w:r>
    </w:p>
    <w:p w14:paraId="16AF14D8">
      <w:pPr>
        <w:pStyle w:val="39"/>
        <w:spacing w:line="580" w:lineRule="exact"/>
        <w:rPr>
          <w:rFonts w:ascii="宋体" w:hAnsi="宋体" w:eastAsia="宋体"/>
        </w:rPr>
      </w:pPr>
      <w:r>
        <w:rPr>
          <w:rFonts w:hint="eastAsia" w:ascii="宋体" w:hAnsi="宋体" w:eastAsia="宋体"/>
        </w:rPr>
        <w:t>组团服务中心严格按照控规确定的规模实施，社区办公、卫生服务站可独立占地集中设置；派出所需独立占地；文化站、体育休闲中心、便民设施及网点可集中设置，也可独立占地；养老设施和组团市场不在组团服务中心内设置，建议独立设置。</w:t>
      </w:r>
    </w:p>
    <w:p w14:paraId="36650C85">
      <w:pPr>
        <w:pStyle w:val="39"/>
        <w:spacing w:line="580" w:lineRule="exact"/>
        <w:rPr>
          <w:rFonts w:ascii="宋体" w:hAnsi="宋体" w:eastAsia="宋体"/>
        </w:rPr>
      </w:pPr>
      <w:r>
        <w:rPr>
          <w:rFonts w:hint="eastAsia" w:ascii="宋体" w:hAnsi="宋体" w:eastAsia="宋体"/>
        </w:rPr>
        <w:t>历史建筑和文物古迹建筑的保护范围、控制地带必须严格执行《中华人民共和国文物保护法》（2013）的保护要求，外围可根据陵川实际建设需求设置过渡区管控要求，保护外围环境。</w:t>
      </w:r>
    </w:p>
    <w:p w14:paraId="59756BA9">
      <w:pPr>
        <w:pStyle w:val="47"/>
        <w:spacing w:line="580" w:lineRule="exact"/>
        <w:rPr>
          <w:b/>
        </w:rPr>
      </w:pPr>
      <w:r>
        <w:rPr>
          <w:rFonts w:hint="eastAsia"/>
        </w:rPr>
        <w:t>(三)商业服务业设施用地</w:t>
      </w:r>
    </w:p>
    <w:p w14:paraId="2626DED0">
      <w:pPr>
        <w:pStyle w:val="39"/>
        <w:spacing w:line="580" w:lineRule="exact"/>
        <w:rPr>
          <w:rFonts w:ascii="宋体" w:hAnsi="宋体" w:eastAsia="宋体"/>
        </w:rPr>
      </w:pPr>
      <w:r>
        <w:rPr>
          <w:rFonts w:hint="eastAsia" w:ascii="宋体" w:hAnsi="宋体" w:eastAsia="宋体"/>
        </w:rPr>
        <w:t>陵川县城区商业服务业设施主要沿十字型发展轴布置，即古陵路、梅园街两侧，共设置“城市——片区”二级体系，在中部公共服务中心外围设置城市级的综合商业，在南坪街、紫云街、回龙街与古陵路交叉口分别设置三个片区商业中心，提供不同层次的商业服务，结合公共管理与公共服务设施共同形成点、轴结合的服务体系。商业设施用地总面积117.45公顷，占总建设用地面积的10.86%。</w:t>
      </w:r>
    </w:p>
    <w:p w14:paraId="5C0A993D">
      <w:pPr>
        <w:pStyle w:val="39"/>
        <w:spacing w:line="580" w:lineRule="exact"/>
        <w:rPr>
          <w:rFonts w:ascii="宋体" w:hAnsi="宋体" w:eastAsia="宋体"/>
        </w:rPr>
      </w:pPr>
      <w:r>
        <w:rPr>
          <w:rFonts w:hint="eastAsia" w:ascii="宋体" w:hAnsi="宋体" w:eastAsia="宋体"/>
        </w:rPr>
        <w:t>1、商业设施</w:t>
      </w:r>
    </w:p>
    <w:p w14:paraId="173864F3">
      <w:pPr>
        <w:pStyle w:val="39"/>
        <w:spacing w:line="580" w:lineRule="exact"/>
        <w:rPr>
          <w:rFonts w:ascii="宋体" w:hAnsi="宋体" w:eastAsia="宋体"/>
        </w:rPr>
      </w:pPr>
      <w:r>
        <w:rPr>
          <w:rFonts w:hint="eastAsia" w:ascii="宋体" w:hAnsi="宋体" w:eastAsia="宋体"/>
        </w:rPr>
        <w:t>商业设施用地包括零售商业用地和旅馆用地两类，各类用地中均可兼容餐饮用地。商业用地主要建设相应的服务设施。规划商业用地面积</w:t>
      </w:r>
      <w:r>
        <w:rPr>
          <w:rFonts w:ascii="宋体" w:hAnsi="宋体" w:eastAsia="宋体"/>
        </w:rPr>
        <w:t>62.89</w:t>
      </w:r>
      <w:r>
        <w:rPr>
          <w:rFonts w:hint="eastAsia" w:ascii="宋体" w:hAnsi="宋体" w:eastAsia="宋体"/>
        </w:rPr>
        <w:t>公顷</w:t>
      </w:r>
    </w:p>
    <w:p w14:paraId="5558FCBB">
      <w:pPr>
        <w:pStyle w:val="39"/>
        <w:spacing w:line="580" w:lineRule="exact"/>
        <w:rPr>
          <w:rFonts w:ascii="宋体" w:hAnsi="宋体" w:eastAsia="宋体"/>
        </w:rPr>
      </w:pPr>
      <w:r>
        <w:rPr>
          <w:rFonts w:hint="eastAsia" w:ascii="宋体" w:hAnsi="宋体" w:eastAsia="宋体"/>
        </w:rPr>
        <w:t>2、商务设施</w:t>
      </w:r>
    </w:p>
    <w:p w14:paraId="2FC970F2">
      <w:pPr>
        <w:pStyle w:val="39"/>
        <w:spacing w:line="580" w:lineRule="exact"/>
        <w:rPr>
          <w:rFonts w:ascii="宋体" w:hAnsi="宋体" w:eastAsia="宋体"/>
        </w:rPr>
      </w:pPr>
      <w:r>
        <w:rPr>
          <w:rFonts w:hint="eastAsia" w:ascii="宋体" w:hAnsi="宋体" w:eastAsia="宋体"/>
        </w:rPr>
        <w:t>商务设施用地主要建设商业性科研及办公、商务写字、金融保险等功能，结合商业用地综合考虑。规划商务用地面积</w:t>
      </w:r>
      <w:r>
        <w:rPr>
          <w:rFonts w:ascii="宋体" w:hAnsi="宋体" w:eastAsia="宋体"/>
        </w:rPr>
        <w:t>8.07</w:t>
      </w:r>
      <w:r>
        <w:rPr>
          <w:rFonts w:hint="eastAsia" w:ascii="宋体" w:hAnsi="宋体" w:eastAsia="宋体"/>
        </w:rPr>
        <w:t>公顷</w:t>
      </w:r>
    </w:p>
    <w:p w14:paraId="00B1C36D">
      <w:pPr>
        <w:pStyle w:val="39"/>
        <w:spacing w:line="580" w:lineRule="exact"/>
        <w:rPr>
          <w:rFonts w:ascii="宋体" w:hAnsi="宋体" w:eastAsia="宋体"/>
        </w:rPr>
      </w:pPr>
      <w:r>
        <w:rPr>
          <w:rFonts w:hint="eastAsia" w:ascii="宋体" w:hAnsi="宋体" w:eastAsia="宋体"/>
        </w:rPr>
        <w:t>3、加油加气站</w:t>
      </w:r>
    </w:p>
    <w:p w14:paraId="07FF9D32">
      <w:pPr>
        <w:pStyle w:val="39"/>
        <w:spacing w:line="580" w:lineRule="exact"/>
        <w:rPr>
          <w:rFonts w:ascii="宋体" w:hAnsi="宋体" w:eastAsia="宋体"/>
        </w:rPr>
      </w:pPr>
      <w:r>
        <w:rPr>
          <w:rFonts w:hint="eastAsia" w:ascii="宋体" w:hAnsi="宋体" w:eastAsia="宋体"/>
        </w:rPr>
        <w:t>城区内加油站共设置6处，占地面积为1.45公顷。为适应时代发展，推动清洁能源、生态环保的不断提升，新建加油加气站应配建充电桩。</w:t>
      </w:r>
    </w:p>
    <w:p w14:paraId="17D7992A">
      <w:pPr>
        <w:pStyle w:val="47"/>
        <w:spacing w:line="580" w:lineRule="exact"/>
        <w:rPr>
          <w:b/>
        </w:rPr>
      </w:pPr>
      <w:r>
        <w:rPr>
          <w:rFonts w:hint="eastAsia"/>
        </w:rPr>
        <w:t>(四)邻里单元——组团服务中心</w:t>
      </w:r>
    </w:p>
    <w:p w14:paraId="55FDE3D0">
      <w:pPr>
        <w:pStyle w:val="39"/>
        <w:spacing w:line="580" w:lineRule="exact"/>
        <w:rPr>
          <w:rFonts w:ascii="宋体" w:hAnsi="宋体" w:eastAsia="宋体"/>
        </w:rPr>
      </w:pPr>
      <w:r>
        <w:rPr>
          <w:rFonts w:hint="eastAsia" w:ascii="宋体" w:hAnsi="宋体" w:eastAsia="宋体"/>
        </w:rPr>
        <w:t>组团服务中心的主要功能是为城区内的居住组团提供社区级公共服务和商业服务，促进组团内的交流，提高组团内服务需求的解决效率，居民生活舒适、便捷，同时减少区域交通流量，降低路面拥堵程度。组团服务中心应作为社区的配套建设设施，与居住组团统一设计、统一建设。组团服务设施用地面积按照人均0.5-0.8平方米设置，主要包括以下几个方面：</w:t>
      </w:r>
    </w:p>
    <w:p w14:paraId="6E669E5B">
      <w:pPr>
        <w:pStyle w:val="39"/>
        <w:spacing w:line="580" w:lineRule="exact"/>
        <w:rPr>
          <w:rFonts w:ascii="宋体" w:hAnsi="宋体" w:eastAsia="宋体"/>
        </w:rPr>
      </w:pPr>
      <w:r>
        <w:rPr>
          <w:rFonts w:hint="eastAsia" w:ascii="宋体" w:hAnsi="宋体" w:eastAsia="宋体"/>
        </w:rPr>
        <w:t>1、文化交流</w:t>
      </w:r>
    </w:p>
    <w:p w14:paraId="71748212">
      <w:pPr>
        <w:pStyle w:val="39"/>
        <w:spacing w:line="580" w:lineRule="exact"/>
        <w:rPr>
          <w:rFonts w:ascii="宋体" w:hAnsi="宋体" w:eastAsia="宋体"/>
        </w:rPr>
      </w:pPr>
      <w:r>
        <w:rPr>
          <w:rFonts w:hint="eastAsia" w:ascii="宋体" w:hAnsi="宋体" w:eastAsia="宋体"/>
        </w:rPr>
        <w:t>设置社区级文化活动站，建设规模根据《居住区规划设计规范》（2016）按照组团人口规模进行配算。</w:t>
      </w:r>
    </w:p>
    <w:p w14:paraId="1A5F5C68">
      <w:pPr>
        <w:pStyle w:val="39"/>
        <w:spacing w:line="580" w:lineRule="exact"/>
        <w:rPr>
          <w:rFonts w:ascii="宋体" w:hAnsi="宋体" w:eastAsia="宋体"/>
        </w:rPr>
      </w:pPr>
      <w:r>
        <w:rPr>
          <w:rFonts w:hint="eastAsia" w:ascii="宋体" w:hAnsi="宋体" w:eastAsia="宋体"/>
        </w:rPr>
        <w:t>2、体育活动</w:t>
      </w:r>
    </w:p>
    <w:p w14:paraId="0DBD6E22">
      <w:pPr>
        <w:pStyle w:val="39"/>
        <w:spacing w:line="580" w:lineRule="exact"/>
        <w:rPr>
          <w:rFonts w:ascii="宋体" w:hAnsi="宋体" w:eastAsia="宋体"/>
        </w:rPr>
      </w:pPr>
      <w:r>
        <w:rPr>
          <w:rFonts w:hint="eastAsia" w:ascii="宋体" w:hAnsi="宋体" w:eastAsia="宋体"/>
        </w:rPr>
        <w:t>结合组团内绿地、公园布置体育活动场地，总用地规模按照组团人口规模进行配算，每处占地面积不得小于一个篮球场的用地面积。</w:t>
      </w:r>
    </w:p>
    <w:p w14:paraId="15ED4306">
      <w:pPr>
        <w:pStyle w:val="39"/>
        <w:spacing w:line="580" w:lineRule="exact"/>
        <w:rPr>
          <w:rFonts w:ascii="宋体" w:hAnsi="宋体" w:eastAsia="宋体"/>
        </w:rPr>
      </w:pPr>
      <w:r>
        <w:rPr>
          <w:rFonts w:hint="eastAsia" w:ascii="宋体" w:hAnsi="宋体" w:eastAsia="宋体"/>
        </w:rPr>
        <w:t>3、健康服务</w:t>
      </w:r>
    </w:p>
    <w:p w14:paraId="05539F86">
      <w:pPr>
        <w:pStyle w:val="39"/>
        <w:spacing w:line="580" w:lineRule="exact"/>
        <w:rPr>
          <w:rFonts w:ascii="宋体" w:hAnsi="宋体" w:eastAsia="宋体"/>
        </w:rPr>
      </w:pPr>
      <w:r>
        <w:rPr>
          <w:rFonts w:hint="eastAsia" w:ascii="宋体" w:hAnsi="宋体" w:eastAsia="宋体"/>
        </w:rPr>
        <w:t>设置智慧型自助健康服务站，通过城市信息网络，与城市健康管理中心共同构建健康生活数据网络平台。</w:t>
      </w:r>
    </w:p>
    <w:p w14:paraId="2462F177">
      <w:pPr>
        <w:pStyle w:val="39"/>
        <w:spacing w:line="580" w:lineRule="exact"/>
        <w:rPr>
          <w:rFonts w:ascii="宋体" w:hAnsi="宋体" w:eastAsia="宋体"/>
        </w:rPr>
      </w:pPr>
      <w:r>
        <w:rPr>
          <w:rFonts w:hint="eastAsia" w:ascii="宋体" w:hAnsi="宋体" w:eastAsia="宋体"/>
        </w:rPr>
        <w:t>4、商业服务</w:t>
      </w:r>
    </w:p>
    <w:p w14:paraId="7445D19F">
      <w:pPr>
        <w:pStyle w:val="39"/>
        <w:spacing w:line="580" w:lineRule="exact"/>
        <w:rPr>
          <w:rFonts w:ascii="宋体" w:hAnsi="宋体" w:eastAsia="宋体"/>
        </w:rPr>
      </w:pPr>
      <w:r>
        <w:rPr>
          <w:rFonts w:hint="eastAsia" w:ascii="宋体" w:hAnsi="宋体" w:eastAsia="宋体"/>
        </w:rPr>
        <w:t>片区应包括中小超市、零售商店、中低档餐厅、咖啡厅、书店、药店、小型旅馆等；居住组团的商业设施应包括小型菜市场、小型超市、零售商店、餐馆、理发店、照相馆、等。</w:t>
      </w:r>
    </w:p>
    <w:p w14:paraId="531A7E7B">
      <w:pPr>
        <w:spacing w:line="580" w:lineRule="exact"/>
        <w:rPr>
          <w:rFonts w:ascii="宋体" w:hAnsi="宋体"/>
          <w:sz w:val="28"/>
          <w:szCs w:val="28"/>
        </w:rPr>
      </w:pPr>
      <w:r>
        <w:rPr>
          <w:rFonts w:hint="eastAsia" w:ascii="宋体" w:hAnsi="宋体"/>
          <w:sz w:val="28"/>
          <w:szCs w:val="28"/>
        </w:rPr>
        <w:t>组团服务中心包括结合中心公园配套建设和独立占地两种形式。当服务中心包含公园绿地时，服务中心应与公园共同规划、设计、建设。各项组团服务设施可以根据设计要求与公园景观设计相结合，但需确保服务中心的用地规模和建筑面积达到相关设置要求。组团服务中心独立设置时，可将办公、公用设施商业网点、文化活动站等功能集中设置。</w:t>
      </w:r>
    </w:p>
    <w:p w14:paraId="2C8BDF63">
      <w:pPr>
        <w:pStyle w:val="47"/>
        <w:spacing w:line="580" w:lineRule="exact"/>
        <w:rPr>
          <w:b/>
        </w:rPr>
      </w:pPr>
      <w:r>
        <w:rPr>
          <w:rFonts w:hint="eastAsia"/>
        </w:rPr>
        <w:t>(五)工业仓储用地</w:t>
      </w:r>
    </w:p>
    <w:p w14:paraId="0CF565B2">
      <w:pPr>
        <w:pStyle w:val="39"/>
        <w:spacing w:line="580" w:lineRule="exact"/>
        <w:rPr>
          <w:rFonts w:ascii="宋体" w:hAnsi="宋体" w:eastAsia="宋体"/>
        </w:rPr>
      </w:pPr>
      <w:r>
        <w:rPr>
          <w:rFonts w:hint="eastAsia" w:ascii="宋体" w:hAnsi="宋体" w:eastAsia="宋体"/>
        </w:rPr>
        <w:t>集中布置于南部陵沁一级公路两侧，西部为工业区，东部为物流仓储区。作为陵川全域旅游的支撑性产业，城区的工业以一类工业用地为主，利用便捷的交通优势，形成以农产品深加工、特色食品加工、手工艺品加工为主的工业区；以县域旅游服务物资的集散为主导功能，仓储区引入为全域旅游提供的果蔬配送、为酒店及民宿提供的物资配送、为旅游提供的文旅周边产品等产业，将该区域建设成为支撑陵川全域旅游的基础性产业区。</w:t>
      </w:r>
    </w:p>
    <w:p w14:paraId="55C39EF1">
      <w:pPr>
        <w:pStyle w:val="39"/>
        <w:spacing w:line="580" w:lineRule="exact"/>
        <w:rPr>
          <w:rFonts w:ascii="宋体" w:hAnsi="宋体" w:eastAsia="宋体"/>
        </w:rPr>
      </w:pPr>
      <w:r>
        <w:rPr>
          <w:rFonts w:hint="eastAsia" w:ascii="宋体" w:hAnsi="宋体" w:eastAsia="宋体"/>
        </w:rPr>
        <w:t>严格控制工业项目的规模与类型，以减少对城市环境的影响。远期随着城市旅游及综合服务功能增强，转型为服务旅游和周边平城、潞城等卫星城镇的综合服务产业区。同时尽量使工业与旅游业结合，可与周边种植业共同拓展参观体验型的工业区旅游业态。</w:t>
      </w:r>
    </w:p>
    <w:p w14:paraId="5E59CAD9">
      <w:pPr>
        <w:pStyle w:val="47"/>
      </w:pPr>
      <w:r>
        <w:rPr>
          <w:rFonts w:hint="eastAsia"/>
        </w:rPr>
        <w:t>（六）用地调整</w:t>
      </w:r>
    </w:p>
    <w:p w14:paraId="64A8CCBB">
      <w:pPr>
        <w:pStyle w:val="39"/>
        <w:spacing w:line="580" w:lineRule="exact"/>
        <w:rPr>
          <w:rFonts w:ascii="宋体" w:hAnsi="宋体" w:eastAsia="宋体"/>
        </w:rPr>
      </w:pPr>
      <w:r>
        <w:rPr>
          <w:rFonts w:hint="eastAsia" w:ascii="宋体" w:hAnsi="宋体" w:eastAsia="宋体"/>
        </w:rPr>
        <w:t>1、调整的原则必要性</w:t>
      </w:r>
    </w:p>
    <w:p w14:paraId="73229FDD">
      <w:pPr>
        <w:pStyle w:val="39"/>
        <w:spacing w:line="580" w:lineRule="exact"/>
        <w:rPr>
          <w:rFonts w:ascii="宋体" w:hAnsi="宋体" w:eastAsia="宋体"/>
        </w:rPr>
      </w:pPr>
      <w:r>
        <w:rPr>
          <w:rFonts w:hint="eastAsia" w:ascii="宋体" w:hAnsi="宋体" w:eastAsia="宋体"/>
        </w:rPr>
        <w:t>1）执行上位，与总体规划相衔接，强调规划的延续性。</w:t>
      </w:r>
    </w:p>
    <w:p w14:paraId="2D7281D6">
      <w:pPr>
        <w:pStyle w:val="39"/>
        <w:spacing w:line="580" w:lineRule="exact"/>
        <w:rPr>
          <w:rFonts w:ascii="宋体" w:hAnsi="宋体" w:eastAsia="宋体"/>
        </w:rPr>
      </w:pPr>
      <w:r>
        <w:rPr>
          <w:rFonts w:hint="eastAsia" w:ascii="宋体" w:hAnsi="宋体" w:eastAsia="宋体"/>
        </w:rPr>
        <w:t>控制性详细规划的核心价值在于，以量化指标将总体规划的原则、意图、宏观控制转化为对城市土地的空间定量、微观的控制，从而确保规划体系的完善和连续。本次规划编制时，首先确定总体规划宏观控制内容不变的原则，将必须保持的规划内容与必须深化的规划内容进行分解，其次结合“多规合一、城乡总体”等规划要求，确保控规编制对总体规划的传承及其内容的完整性。</w:t>
      </w:r>
    </w:p>
    <w:p w14:paraId="658308B2">
      <w:pPr>
        <w:pStyle w:val="39"/>
        <w:spacing w:line="580" w:lineRule="exact"/>
        <w:rPr>
          <w:rFonts w:ascii="宋体" w:hAnsi="宋体" w:eastAsia="宋体"/>
        </w:rPr>
      </w:pPr>
      <w:r>
        <w:rPr>
          <w:rFonts w:hint="eastAsia" w:ascii="宋体" w:hAnsi="宋体" w:eastAsia="宋体"/>
        </w:rPr>
        <w:t>2）指导建设，与管理结合、与开发衔接，作为城市规划管理的依据。</w:t>
      </w:r>
    </w:p>
    <w:p w14:paraId="766AF65E">
      <w:pPr>
        <w:pStyle w:val="39"/>
        <w:spacing w:line="580" w:lineRule="exact"/>
        <w:rPr>
          <w:rFonts w:ascii="宋体" w:hAnsi="宋体" w:eastAsia="宋体"/>
        </w:rPr>
      </w:pPr>
      <w:r>
        <w:rPr>
          <w:rFonts w:hint="eastAsia" w:ascii="宋体" w:hAnsi="宋体" w:eastAsia="宋体"/>
        </w:rPr>
        <w:t>控制性详细规划将规划控制要点用简练、明确的方式表达出来，最大程度实现规划的可操作性。在规划管理上，控制性详细规划将总体规划宏观的管理要求转化为具体的地块建设管理指标，使规划编制与规划管理及城市土地开发建设相衔接。规划编制过程中，需对城市发展过程中所形成的现状进行分析，选取有效信息，对总体规划进行必要的修正。</w:t>
      </w:r>
    </w:p>
    <w:p w14:paraId="2A795B59">
      <w:pPr>
        <w:pStyle w:val="39"/>
        <w:spacing w:line="580" w:lineRule="exact"/>
        <w:rPr>
          <w:rFonts w:ascii="宋体" w:hAnsi="宋体" w:eastAsia="宋体"/>
        </w:rPr>
      </w:pPr>
      <w:r>
        <w:rPr>
          <w:rFonts w:hint="eastAsia" w:ascii="宋体" w:hAnsi="宋体" w:eastAsia="宋体"/>
        </w:rPr>
        <w:t>3）确保发展，与城市管理相协调，作为城市政策的载体。</w:t>
      </w:r>
    </w:p>
    <w:p w14:paraId="1519E8F8">
      <w:pPr>
        <w:pStyle w:val="39"/>
        <w:spacing w:line="580" w:lineRule="exact"/>
        <w:rPr>
          <w:rFonts w:ascii="宋体" w:hAnsi="宋体" w:eastAsia="宋体"/>
        </w:rPr>
      </w:pPr>
      <w:r>
        <w:rPr>
          <w:rFonts w:hint="eastAsia" w:ascii="宋体" w:hAnsi="宋体" w:eastAsia="宋体"/>
        </w:rPr>
        <w:t>控制性详细规划作为管理城市空间、土地资源和房地产市场的一种公共政策，在编制和实施过程中，作为控制土地批租、出让的依据，通过对开发建设的控制正确引导开发行为，是进行建设项目许可的重要前提条件。规划编制时，结合城市产业、人口空间分布、环境保护等方面广泛的政策性内容，对总体规划的相关内容进行深化；并结合城市管理部门确定的宏观发展方向、重点建设内容等，增加控规相关内容。通过传达城市政策信息，将总体规划对城市发展的宏观指导在控规阶段进行传导和落实，引导城市协调发展。</w:t>
      </w:r>
    </w:p>
    <w:p w14:paraId="341A0689">
      <w:pPr>
        <w:pStyle w:val="39"/>
        <w:spacing w:line="580" w:lineRule="exact"/>
        <w:rPr>
          <w:rFonts w:ascii="宋体" w:hAnsi="宋体" w:eastAsia="宋体"/>
        </w:rPr>
      </w:pPr>
      <w:r>
        <w:rPr>
          <w:rFonts w:hint="eastAsia" w:ascii="宋体" w:hAnsi="宋体" w:eastAsia="宋体"/>
        </w:rPr>
        <w:t>2、规划调整主要内容</w:t>
      </w:r>
    </w:p>
    <w:p w14:paraId="60D07D26">
      <w:pPr>
        <w:pStyle w:val="39"/>
        <w:spacing w:line="580" w:lineRule="exact"/>
        <w:rPr>
          <w:rFonts w:ascii="宋体" w:hAnsi="宋体" w:eastAsia="宋体"/>
        </w:rPr>
      </w:pPr>
      <w:r>
        <w:rPr>
          <w:rFonts w:hint="eastAsia" w:ascii="宋体" w:hAnsi="宋体" w:eastAsia="宋体"/>
        </w:rPr>
        <w:t>总体规划编制完成至今已经过近五年的时间，因此，本次规划结合了2</w:t>
      </w:r>
      <w:r>
        <w:rPr>
          <w:rFonts w:ascii="宋体" w:hAnsi="宋体" w:eastAsia="宋体"/>
        </w:rPr>
        <w:t>011</w:t>
      </w:r>
      <w:r>
        <w:rPr>
          <w:rFonts w:hint="eastAsia" w:ascii="宋体" w:hAnsi="宋体" w:eastAsia="宋体"/>
        </w:rPr>
        <w:t>年和2</w:t>
      </w:r>
      <w:r>
        <w:rPr>
          <w:rFonts w:ascii="宋体" w:hAnsi="宋体" w:eastAsia="宋体"/>
        </w:rPr>
        <w:t>017</w:t>
      </w:r>
      <w:r>
        <w:rPr>
          <w:rFonts w:hint="eastAsia" w:ascii="宋体" w:hAnsi="宋体" w:eastAsia="宋体"/>
        </w:rPr>
        <w:t>年用地现状、已批已建和已批未建等项目建设情况等内容进行编制。同时，对土地利用总体规划、环保规划、用地权属等资料进行详细核实，保证城市发展的科学、可持续。</w:t>
      </w:r>
    </w:p>
    <w:p w14:paraId="769C872B">
      <w:pPr>
        <w:pStyle w:val="39"/>
        <w:spacing w:line="580" w:lineRule="exact"/>
        <w:rPr>
          <w:rFonts w:ascii="宋体" w:hAnsi="宋体" w:eastAsia="宋体"/>
        </w:rPr>
      </w:pPr>
      <w:r>
        <w:rPr>
          <w:rFonts w:hint="eastAsia" w:ascii="宋体" w:hAnsi="宋体" w:eastAsia="宋体"/>
        </w:rPr>
        <w:t>在编制内容方面，为增加控规对下层次规划的指导性，加强规划的延续性和可实施性，增加了城市设计的指导图则；为结合现代城市发展的需求，增加了城市更新、智慧城市、城市双修等相关章节，充实控规内容。</w:t>
      </w:r>
    </w:p>
    <w:p w14:paraId="052CBCF7">
      <w:pPr>
        <w:pStyle w:val="39"/>
        <w:spacing w:line="580" w:lineRule="exact"/>
        <w:rPr>
          <w:rFonts w:ascii="宋体" w:hAnsi="宋体" w:eastAsia="宋体"/>
        </w:rPr>
      </w:pPr>
      <w:r>
        <w:rPr>
          <w:rFonts w:hint="eastAsia" w:ascii="宋体" w:hAnsi="宋体" w:eastAsia="宋体"/>
        </w:rPr>
        <w:t>本次规划在保证总体规划确定的“一心两轴四片区”空间结构不变的前提下，对各项用地进行深化和调整。在规模基本不变的前提下，主要对绿地系统和公共服务设施进行了部分深化。</w:t>
      </w:r>
    </w:p>
    <w:p w14:paraId="2F599349">
      <w:pPr>
        <w:pStyle w:val="39"/>
        <w:spacing w:line="580" w:lineRule="exact"/>
        <w:rPr>
          <w:rFonts w:ascii="宋体" w:hAnsi="宋体" w:eastAsia="宋体"/>
        </w:rPr>
      </w:pPr>
      <w:r>
        <w:rPr>
          <w:rFonts w:hint="eastAsia" w:ascii="宋体" w:hAnsi="宋体" w:eastAsia="宋体"/>
        </w:rPr>
        <w:t>绿地系统的调整，主要结合总体规划中绿地系统相关内容、土地利用总体规划中划定的基本农田保护线、现状建成绿地情况对控规的绿地系统规划进行深化。规划后的绿地系统延续了总体规划对城市绿色空间的宏观结构，同时更具有实施性。</w:t>
      </w:r>
    </w:p>
    <w:p w14:paraId="7B8382BB">
      <w:pPr>
        <w:spacing w:line="580" w:lineRule="exact"/>
        <w:jc w:val="center"/>
        <w:rPr>
          <w:rFonts w:ascii="宋体" w:hAnsi="宋体"/>
          <w:sz w:val="28"/>
          <w:szCs w:val="28"/>
        </w:rPr>
      </w:pPr>
      <w:r>
        <w:rPr>
          <w:rFonts w:hint="eastAsia" w:ascii="宋体" w:hAnsi="宋体"/>
          <w:sz w:val="28"/>
          <w:szCs w:val="28"/>
        </w:rPr>
        <w:t>公共服务设施的调整，保证总体规划对公共服务设施的设置结构及宏观供应标准不变，在各项服务设施点位不变的情况下，保证供应规模基本不变，只对其地块界线进行调整。其次，结合各项公共服务设施的相关规范对其服务半径进行再次确定。最后，结合行政区划、社区划分界限、用地权属等政策文件，对各项服务设施的位置进行校核。</w:t>
      </w:r>
    </w:p>
    <w:p w14:paraId="78416C49">
      <w:pPr>
        <w:spacing w:line="580" w:lineRule="exact"/>
        <w:jc w:val="center"/>
        <w:rPr>
          <w:rFonts w:ascii="宋体" w:hAnsi="宋体"/>
          <w:b/>
          <w:sz w:val="28"/>
          <w:szCs w:val="28"/>
        </w:rPr>
      </w:pPr>
      <w:r>
        <w:rPr>
          <w:rFonts w:hint="eastAsia" w:ascii="宋体" w:hAnsi="宋体"/>
          <w:b/>
          <w:sz w:val="28"/>
          <w:szCs w:val="28"/>
        </w:rPr>
        <w:t>表6</w:t>
      </w:r>
      <w:r>
        <w:rPr>
          <w:rFonts w:ascii="宋体" w:hAnsi="宋体"/>
          <w:b/>
          <w:sz w:val="28"/>
          <w:szCs w:val="28"/>
        </w:rPr>
        <w:t xml:space="preserve">  </w:t>
      </w:r>
      <w:r>
        <w:rPr>
          <w:rFonts w:hint="eastAsia" w:ascii="宋体" w:hAnsi="宋体"/>
          <w:b/>
          <w:sz w:val="28"/>
          <w:szCs w:val="28"/>
        </w:rPr>
        <w:t>规划区城市建设用地平衡表</w:t>
      </w:r>
    </w:p>
    <w:tbl>
      <w:tblPr>
        <w:tblStyle w:val="21"/>
        <w:tblW w:w="8924" w:type="dxa"/>
        <w:tblInd w:w="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5"/>
        <w:gridCol w:w="1115"/>
        <w:gridCol w:w="2091"/>
        <w:gridCol w:w="1812"/>
        <w:gridCol w:w="1672"/>
        <w:gridCol w:w="1519"/>
      </w:tblGrid>
      <w:tr w14:paraId="7F0AF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715" w:type="dxa"/>
            <w:vMerge w:val="restart"/>
            <w:shd w:val="clear" w:color="000000" w:fill="FFFFFF"/>
            <w:noWrap/>
            <w:vAlign w:val="center"/>
          </w:tcPr>
          <w:p w14:paraId="3170F3E7">
            <w:pPr>
              <w:pStyle w:val="48"/>
            </w:pPr>
            <w:r>
              <w:rPr>
                <w:rFonts w:hint="eastAsia"/>
              </w:rPr>
              <w:t>用地代码</w:t>
            </w:r>
          </w:p>
        </w:tc>
        <w:tc>
          <w:tcPr>
            <w:tcW w:w="3206" w:type="dxa"/>
            <w:gridSpan w:val="2"/>
            <w:vMerge w:val="restart"/>
            <w:shd w:val="clear" w:color="000000" w:fill="FFFFFF"/>
            <w:noWrap/>
            <w:vAlign w:val="center"/>
          </w:tcPr>
          <w:p w14:paraId="21963FB4">
            <w:pPr>
              <w:pStyle w:val="48"/>
            </w:pPr>
            <w:r>
              <w:rPr>
                <w:rFonts w:hint="eastAsia"/>
              </w:rPr>
              <w:t>用地名称</w:t>
            </w:r>
          </w:p>
        </w:tc>
        <w:tc>
          <w:tcPr>
            <w:tcW w:w="1812" w:type="dxa"/>
            <w:shd w:val="clear" w:color="000000" w:fill="FFFFFF"/>
            <w:vAlign w:val="center"/>
          </w:tcPr>
          <w:p w14:paraId="48BC198D">
            <w:pPr>
              <w:pStyle w:val="48"/>
            </w:pPr>
            <w:r>
              <w:rPr>
                <w:rFonts w:hint="eastAsia"/>
              </w:rPr>
              <w:t>用地面积(hm²)</w:t>
            </w:r>
          </w:p>
        </w:tc>
        <w:tc>
          <w:tcPr>
            <w:tcW w:w="1672" w:type="dxa"/>
            <w:shd w:val="clear" w:color="000000" w:fill="FFFFFF"/>
            <w:vAlign w:val="center"/>
          </w:tcPr>
          <w:p w14:paraId="18841EDC">
            <w:pPr>
              <w:pStyle w:val="48"/>
            </w:pPr>
            <w:r>
              <w:rPr>
                <w:rFonts w:hint="eastAsia"/>
              </w:rPr>
              <w:t>占城市建设</w:t>
            </w:r>
          </w:p>
          <w:p w14:paraId="1C06EE2E">
            <w:pPr>
              <w:pStyle w:val="48"/>
            </w:pPr>
            <w:r>
              <w:rPr>
                <w:rFonts w:hint="eastAsia"/>
              </w:rPr>
              <w:t>用地比例(%)</w:t>
            </w:r>
          </w:p>
        </w:tc>
        <w:tc>
          <w:tcPr>
            <w:tcW w:w="1519" w:type="dxa"/>
            <w:shd w:val="clear" w:color="000000" w:fill="FFFFFF"/>
            <w:noWrap/>
            <w:vAlign w:val="center"/>
          </w:tcPr>
          <w:p w14:paraId="48537266">
            <w:pPr>
              <w:pStyle w:val="48"/>
            </w:pPr>
            <w:r>
              <w:rPr>
                <w:rFonts w:hint="eastAsia"/>
              </w:rPr>
              <w:t>人均城市建设用地面积(M²)</w:t>
            </w:r>
          </w:p>
        </w:tc>
      </w:tr>
      <w:tr w14:paraId="592D1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715" w:type="dxa"/>
            <w:vMerge w:val="continue"/>
            <w:vAlign w:val="center"/>
          </w:tcPr>
          <w:p w14:paraId="7864DEC9">
            <w:pPr>
              <w:pStyle w:val="48"/>
            </w:pPr>
          </w:p>
        </w:tc>
        <w:tc>
          <w:tcPr>
            <w:tcW w:w="3206" w:type="dxa"/>
            <w:gridSpan w:val="2"/>
            <w:vMerge w:val="continue"/>
            <w:vAlign w:val="center"/>
          </w:tcPr>
          <w:p w14:paraId="412674AF">
            <w:pPr>
              <w:pStyle w:val="48"/>
            </w:pPr>
          </w:p>
        </w:tc>
        <w:tc>
          <w:tcPr>
            <w:tcW w:w="1812" w:type="dxa"/>
            <w:shd w:val="clear" w:color="000000" w:fill="FFFFFF"/>
            <w:noWrap/>
            <w:vAlign w:val="center"/>
          </w:tcPr>
          <w:p w14:paraId="36494F74">
            <w:pPr>
              <w:pStyle w:val="48"/>
            </w:pPr>
            <w:r>
              <w:rPr>
                <w:rFonts w:hint="eastAsia"/>
              </w:rPr>
              <w:t>规划</w:t>
            </w:r>
          </w:p>
        </w:tc>
        <w:tc>
          <w:tcPr>
            <w:tcW w:w="1672" w:type="dxa"/>
            <w:shd w:val="clear" w:color="000000" w:fill="FFFFFF"/>
            <w:noWrap/>
            <w:vAlign w:val="center"/>
          </w:tcPr>
          <w:p w14:paraId="234C274A">
            <w:pPr>
              <w:pStyle w:val="48"/>
            </w:pPr>
            <w:r>
              <w:rPr>
                <w:rFonts w:hint="eastAsia"/>
              </w:rPr>
              <w:t>规划</w:t>
            </w:r>
          </w:p>
        </w:tc>
        <w:tc>
          <w:tcPr>
            <w:tcW w:w="1519" w:type="dxa"/>
            <w:shd w:val="clear" w:color="000000" w:fill="FFFFFF"/>
            <w:noWrap/>
            <w:vAlign w:val="center"/>
          </w:tcPr>
          <w:p w14:paraId="594039FD">
            <w:pPr>
              <w:pStyle w:val="48"/>
            </w:pPr>
            <w:r>
              <w:rPr>
                <w:rFonts w:hint="eastAsia"/>
              </w:rPr>
              <w:t>规划</w:t>
            </w:r>
          </w:p>
        </w:tc>
      </w:tr>
      <w:tr w14:paraId="01C98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15" w:type="dxa"/>
            <w:shd w:val="clear" w:color="000000" w:fill="FFFFFF"/>
            <w:noWrap/>
            <w:vAlign w:val="center"/>
          </w:tcPr>
          <w:p w14:paraId="473D25B0">
            <w:pPr>
              <w:pStyle w:val="48"/>
            </w:pPr>
            <w:r>
              <w:rPr>
                <w:rFonts w:hint="eastAsia"/>
              </w:rPr>
              <w:t>R</w:t>
            </w:r>
          </w:p>
        </w:tc>
        <w:tc>
          <w:tcPr>
            <w:tcW w:w="3206" w:type="dxa"/>
            <w:gridSpan w:val="2"/>
            <w:shd w:val="clear" w:color="000000" w:fill="FFFFFF"/>
            <w:noWrap/>
            <w:vAlign w:val="center"/>
          </w:tcPr>
          <w:p w14:paraId="4236BB49">
            <w:pPr>
              <w:pStyle w:val="48"/>
            </w:pPr>
            <w:r>
              <w:rPr>
                <w:rFonts w:hint="eastAsia"/>
              </w:rPr>
              <w:t>居住用地</w:t>
            </w:r>
          </w:p>
        </w:tc>
        <w:tc>
          <w:tcPr>
            <w:tcW w:w="1812" w:type="dxa"/>
            <w:shd w:val="clear" w:color="000000" w:fill="FFFFFF"/>
            <w:noWrap/>
            <w:vAlign w:val="center"/>
          </w:tcPr>
          <w:p w14:paraId="6F3302BA">
            <w:pPr>
              <w:pStyle w:val="48"/>
            </w:pPr>
            <w:r>
              <w:rPr>
                <w:rFonts w:hint="eastAsia"/>
              </w:rPr>
              <w:t>44.68</w:t>
            </w:r>
          </w:p>
        </w:tc>
        <w:tc>
          <w:tcPr>
            <w:tcW w:w="1672" w:type="dxa"/>
            <w:shd w:val="clear" w:color="000000" w:fill="FFFFFF"/>
            <w:noWrap/>
            <w:vAlign w:val="center"/>
          </w:tcPr>
          <w:p w14:paraId="23919F74">
            <w:pPr>
              <w:pStyle w:val="48"/>
            </w:pPr>
            <w:r>
              <w:rPr>
                <w:rFonts w:hint="eastAsia"/>
              </w:rPr>
              <w:t>38.77</w:t>
            </w:r>
          </w:p>
        </w:tc>
        <w:tc>
          <w:tcPr>
            <w:tcW w:w="1519" w:type="dxa"/>
            <w:shd w:val="clear" w:color="000000" w:fill="FFFFFF"/>
            <w:noWrap/>
            <w:vAlign w:val="center"/>
          </w:tcPr>
          <w:p w14:paraId="75794C95">
            <w:pPr>
              <w:pStyle w:val="48"/>
            </w:pPr>
            <w:r>
              <w:rPr>
                <w:rFonts w:hint="eastAsia"/>
              </w:rPr>
              <w:t>40.88</w:t>
            </w:r>
          </w:p>
        </w:tc>
      </w:tr>
      <w:tr w14:paraId="5F3AE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15" w:type="dxa"/>
            <w:vMerge w:val="restart"/>
            <w:shd w:val="clear" w:color="000000" w:fill="FFFFFF"/>
            <w:noWrap/>
            <w:vAlign w:val="center"/>
          </w:tcPr>
          <w:p w14:paraId="04162201">
            <w:pPr>
              <w:pStyle w:val="48"/>
            </w:pPr>
            <w:r>
              <w:rPr>
                <w:rFonts w:hint="eastAsia"/>
              </w:rPr>
              <w:t>A</w:t>
            </w:r>
          </w:p>
        </w:tc>
        <w:tc>
          <w:tcPr>
            <w:tcW w:w="3206" w:type="dxa"/>
            <w:gridSpan w:val="2"/>
            <w:shd w:val="clear" w:color="000000" w:fill="FFFFFF"/>
            <w:noWrap/>
            <w:vAlign w:val="center"/>
          </w:tcPr>
          <w:p w14:paraId="2D6F16D2">
            <w:pPr>
              <w:pStyle w:val="48"/>
            </w:pPr>
            <w:r>
              <w:rPr>
                <w:rFonts w:hint="eastAsia"/>
              </w:rPr>
              <w:t>公共管理与公共服务设施用地</w:t>
            </w:r>
          </w:p>
        </w:tc>
        <w:tc>
          <w:tcPr>
            <w:tcW w:w="1812" w:type="dxa"/>
            <w:shd w:val="clear" w:color="000000" w:fill="FFFFFF"/>
            <w:noWrap/>
            <w:vAlign w:val="center"/>
          </w:tcPr>
          <w:p w14:paraId="10C3ABC6">
            <w:pPr>
              <w:pStyle w:val="48"/>
            </w:pPr>
            <w:r>
              <w:rPr>
                <w:rFonts w:hint="eastAsia"/>
              </w:rPr>
              <w:t>105.52</w:t>
            </w:r>
          </w:p>
        </w:tc>
        <w:tc>
          <w:tcPr>
            <w:tcW w:w="1672" w:type="dxa"/>
            <w:shd w:val="clear" w:color="000000" w:fill="FFFFFF"/>
            <w:noWrap/>
            <w:vAlign w:val="center"/>
          </w:tcPr>
          <w:p w14:paraId="486A96AD">
            <w:pPr>
              <w:pStyle w:val="48"/>
            </w:pPr>
            <w:r>
              <w:rPr>
                <w:rFonts w:hint="eastAsia"/>
              </w:rPr>
              <w:t>10.11</w:t>
            </w:r>
          </w:p>
        </w:tc>
        <w:tc>
          <w:tcPr>
            <w:tcW w:w="1519" w:type="dxa"/>
            <w:shd w:val="clear" w:color="000000" w:fill="FFFFFF"/>
            <w:noWrap/>
            <w:vAlign w:val="center"/>
          </w:tcPr>
          <w:p w14:paraId="46CBE179">
            <w:pPr>
              <w:pStyle w:val="48"/>
            </w:pPr>
            <w:r>
              <w:rPr>
                <w:rFonts w:hint="eastAsia"/>
              </w:rPr>
              <w:t>10.66</w:t>
            </w:r>
          </w:p>
        </w:tc>
      </w:tr>
      <w:tr w14:paraId="54266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715" w:type="dxa"/>
            <w:vMerge w:val="continue"/>
            <w:vAlign w:val="center"/>
          </w:tcPr>
          <w:p w14:paraId="30BAC674">
            <w:pPr>
              <w:pStyle w:val="48"/>
            </w:pPr>
          </w:p>
        </w:tc>
        <w:tc>
          <w:tcPr>
            <w:tcW w:w="1115" w:type="dxa"/>
            <w:vMerge w:val="restart"/>
            <w:shd w:val="clear" w:color="000000" w:fill="FFFFFF"/>
            <w:noWrap/>
            <w:vAlign w:val="center"/>
          </w:tcPr>
          <w:p w14:paraId="296037A0">
            <w:pPr>
              <w:pStyle w:val="48"/>
            </w:pPr>
            <w:r>
              <w:rPr>
                <w:rFonts w:hint="eastAsia"/>
              </w:rPr>
              <w:t>其中</w:t>
            </w:r>
          </w:p>
        </w:tc>
        <w:tc>
          <w:tcPr>
            <w:tcW w:w="2090" w:type="dxa"/>
            <w:shd w:val="clear" w:color="000000" w:fill="FFFFFF"/>
            <w:noWrap/>
            <w:vAlign w:val="center"/>
          </w:tcPr>
          <w:p w14:paraId="0D6A9600">
            <w:pPr>
              <w:pStyle w:val="48"/>
            </w:pPr>
            <w:r>
              <w:rPr>
                <w:rFonts w:hint="eastAsia"/>
              </w:rPr>
              <w:t>行政办公用地</w:t>
            </w:r>
          </w:p>
        </w:tc>
        <w:tc>
          <w:tcPr>
            <w:tcW w:w="1812" w:type="dxa"/>
            <w:shd w:val="clear" w:color="000000" w:fill="FFFFFF"/>
            <w:noWrap/>
            <w:vAlign w:val="center"/>
          </w:tcPr>
          <w:p w14:paraId="74EC425A">
            <w:pPr>
              <w:pStyle w:val="48"/>
            </w:pPr>
            <w:r>
              <w:rPr>
                <w:rFonts w:hint="eastAsia"/>
              </w:rPr>
              <w:t>15.74</w:t>
            </w:r>
          </w:p>
        </w:tc>
        <w:tc>
          <w:tcPr>
            <w:tcW w:w="1672" w:type="dxa"/>
            <w:shd w:val="clear" w:color="000000" w:fill="FFFFFF"/>
            <w:noWrap/>
            <w:vAlign w:val="center"/>
          </w:tcPr>
          <w:p w14:paraId="7B52E3A7">
            <w:pPr>
              <w:pStyle w:val="48"/>
            </w:pPr>
            <w:r>
              <w:rPr>
                <w:rFonts w:hint="eastAsia"/>
              </w:rPr>
              <w:t>1.51</w:t>
            </w:r>
          </w:p>
        </w:tc>
        <w:tc>
          <w:tcPr>
            <w:tcW w:w="1519" w:type="dxa"/>
            <w:shd w:val="clear" w:color="000000" w:fill="FFFFFF"/>
            <w:noWrap/>
            <w:vAlign w:val="center"/>
          </w:tcPr>
          <w:p w14:paraId="681F4719">
            <w:pPr>
              <w:pStyle w:val="48"/>
            </w:pPr>
            <w:r>
              <w:rPr>
                <w:rFonts w:hint="eastAsia"/>
              </w:rPr>
              <w:t>1.59</w:t>
            </w:r>
          </w:p>
        </w:tc>
      </w:tr>
      <w:tr w14:paraId="167A7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15" w:type="dxa"/>
            <w:vMerge w:val="continue"/>
            <w:vAlign w:val="center"/>
          </w:tcPr>
          <w:p w14:paraId="2E5CBB36">
            <w:pPr>
              <w:pStyle w:val="48"/>
            </w:pPr>
          </w:p>
        </w:tc>
        <w:tc>
          <w:tcPr>
            <w:tcW w:w="1115" w:type="dxa"/>
            <w:vMerge w:val="continue"/>
            <w:vAlign w:val="center"/>
          </w:tcPr>
          <w:p w14:paraId="36ADD9D8">
            <w:pPr>
              <w:pStyle w:val="48"/>
            </w:pPr>
          </w:p>
        </w:tc>
        <w:tc>
          <w:tcPr>
            <w:tcW w:w="2090" w:type="dxa"/>
            <w:shd w:val="clear" w:color="000000" w:fill="FFFFFF"/>
            <w:noWrap/>
            <w:vAlign w:val="center"/>
          </w:tcPr>
          <w:p w14:paraId="7FD8A10D">
            <w:pPr>
              <w:pStyle w:val="48"/>
            </w:pPr>
            <w:r>
              <w:rPr>
                <w:rFonts w:hint="eastAsia"/>
              </w:rPr>
              <w:t>文化设施用地</w:t>
            </w:r>
          </w:p>
        </w:tc>
        <w:tc>
          <w:tcPr>
            <w:tcW w:w="1812" w:type="dxa"/>
            <w:shd w:val="clear" w:color="000000" w:fill="FFFFFF"/>
            <w:noWrap/>
            <w:vAlign w:val="center"/>
          </w:tcPr>
          <w:p w14:paraId="09F27A31">
            <w:pPr>
              <w:pStyle w:val="48"/>
            </w:pPr>
            <w:r>
              <w:rPr>
                <w:rFonts w:hint="eastAsia"/>
              </w:rPr>
              <w:t>7.82</w:t>
            </w:r>
          </w:p>
        </w:tc>
        <w:tc>
          <w:tcPr>
            <w:tcW w:w="1672" w:type="dxa"/>
            <w:shd w:val="clear" w:color="000000" w:fill="FFFFFF"/>
            <w:noWrap/>
            <w:vAlign w:val="center"/>
          </w:tcPr>
          <w:p w14:paraId="0F77EEFB">
            <w:pPr>
              <w:pStyle w:val="48"/>
            </w:pPr>
            <w:r>
              <w:rPr>
                <w:rFonts w:hint="eastAsia"/>
              </w:rPr>
              <w:t>0.75</w:t>
            </w:r>
          </w:p>
        </w:tc>
        <w:tc>
          <w:tcPr>
            <w:tcW w:w="1519" w:type="dxa"/>
            <w:shd w:val="clear" w:color="000000" w:fill="FFFFFF"/>
            <w:noWrap/>
            <w:vAlign w:val="center"/>
          </w:tcPr>
          <w:p w14:paraId="2DEB2C98">
            <w:pPr>
              <w:pStyle w:val="48"/>
            </w:pPr>
            <w:r>
              <w:rPr>
                <w:rFonts w:hint="eastAsia"/>
              </w:rPr>
              <w:t>0.79</w:t>
            </w:r>
          </w:p>
        </w:tc>
      </w:tr>
      <w:tr w14:paraId="71375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15" w:type="dxa"/>
            <w:vMerge w:val="continue"/>
            <w:vAlign w:val="center"/>
          </w:tcPr>
          <w:p w14:paraId="14378624">
            <w:pPr>
              <w:pStyle w:val="48"/>
            </w:pPr>
          </w:p>
        </w:tc>
        <w:tc>
          <w:tcPr>
            <w:tcW w:w="1115" w:type="dxa"/>
            <w:vMerge w:val="continue"/>
            <w:vAlign w:val="center"/>
          </w:tcPr>
          <w:p w14:paraId="778A3960">
            <w:pPr>
              <w:pStyle w:val="48"/>
            </w:pPr>
          </w:p>
        </w:tc>
        <w:tc>
          <w:tcPr>
            <w:tcW w:w="2090" w:type="dxa"/>
            <w:shd w:val="clear" w:color="000000" w:fill="FFFFFF"/>
            <w:noWrap/>
            <w:vAlign w:val="center"/>
          </w:tcPr>
          <w:p w14:paraId="75BFA3DB">
            <w:pPr>
              <w:pStyle w:val="48"/>
            </w:pPr>
            <w:r>
              <w:rPr>
                <w:rFonts w:hint="eastAsia"/>
              </w:rPr>
              <w:t>教育科研用地</w:t>
            </w:r>
          </w:p>
        </w:tc>
        <w:tc>
          <w:tcPr>
            <w:tcW w:w="1812" w:type="dxa"/>
            <w:shd w:val="clear" w:color="000000" w:fill="FFFFFF"/>
            <w:noWrap/>
            <w:vAlign w:val="center"/>
          </w:tcPr>
          <w:p w14:paraId="04F4DD92">
            <w:pPr>
              <w:pStyle w:val="48"/>
            </w:pPr>
            <w:r>
              <w:rPr>
                <w:rFonts w:hint="eastAsia"/>
              </w:rPr>
              <w:t>59.99</w:t>
            </w:r>
          </w:p>
        </w:tc>
        <w:tc>
          <w:tcPr>
            <w:tcW w:w="1672" w:type="dxa"/>
            <w:shd w:val="clear" w:color="000000" w:fill="FFFFFF"/>
            <w:noWrap/>
            <w:vAlign w:val="center"/>
          </w:tcPr>
          <w:p w14:paraId="56779E93">
            <w:pPr>
              <w:pStyle w:val="48"/>
            </w:pPr>
            <w:r>
              <w:rPr>
                <w:rFonts w:hint="eastAsia"/>
              </w:rPr>
              <w:t>5.75</w:t>
            </w:r>
          </w:p>
        </w:tc>
        <w:tc>
          <w:tcPr>
            <w:tcW w:w="1519" w:type="dxa"/>
            <w:shd w:val="clear" w:color="000000" w:fill="FFFFFF"/>
            <w:noWrap/>
            <w:vAlign w:val="center"/>
          </w:tcPr>
          <w:p w14:paraId="5415321A">
            <w:pPr>
              <w:pStyle w:val="48"/>
            </w:pPr>
            <w:r>
              <w:rPr>
                <w:rFonts w:hint="eastAsia"/>
              </w:rPr>
              <w:t>6.06</w:t>
            </w:r>
          </w:p>
        </w:tc>
      </w:tr>
      <w:tr w14:paraId="12041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15" w:type="dxa"/>
            <w:vMerge w:val="continue"/>
            <w:vAlign w:val="center"/>
          </w:tcPr>
          <w:p w14:paraId="003FE1BA">
            <w:pPr>
              <w:pStyle w:val="48"/>
            </w:pPr>
          </w:p>
        </w:tc>
        <w:tc>
          <w:tcPr>
            <w:tcW w:w="1115" w:type="dxa"/>
            <w:vMerge w:val="continue"/>
            <w:vAlign w:val="center"/>
          </w:tcPr>
          <w:p w14:paraId="4C5C75A1">
            <w:pPr>
              <w:pStyle w:val="48"/>
            </w:pPr>
          </w:p>
        </w:tc>
        <w:tc>
          <w:tcPr>
            <w:tcW w:w="2090" w:type="dxa"/>
            <w:shd w:val="clear" w:color="000000" w:fill="FFFFFF"/>
            <w:noWrap/>
            <w:vAlign w:val="center"/>
          </w:tcPr>
          <w:p w14:paraId="55A36B05">
            <w:pPr>
              <w:pStyle w:val="48"/>
            </w:pPr>
            <w:r>
              <w:rPr>
                <w:rFonts w:hint="eastAsia"/>
              </w:rPr>
              <w:t>体育用地</w:t>
            </w:r>
          </w:p>
        </w:tc>
        <w:tc>
          <w:tcPr>
            <w:tcW w:w="1812" w:type="dxa"/>
            <w:shd w:val="clear" w:color="000000" w:fill="FFFFFF"/>
            <w:noWrap/>
            <w:vAlign w:val="center"/>
          </w:tcPr>
          <w:p w14:paraId="69C62D92">
            <w:pPr>
              <w:pStyle w:val="48"/>
            </w:pPr>
            <w:r>
              <w:rPr>
                <w:rFonts w:hint="eastAsia"/>
              </w:rPr>
              <w:t>8.07</w:t>
            </w:r>
          </w:p>
        </w:tc>
        <w:tc>
          <w:tcPr>
            <w:tcW w:w="1672" w:type="dxa"/>
            <w:shd w:val="clear" w:color="000000" w:fill="FFFFFF"/>
            <w:noWrap/>
            <w:vAlign w:val="center"/>
          </w:tcPr>
          <w:p w14:paraId="7CC45096">
            <w:pPr>
              <w:pStyle w:val="48"/>
            </w:pPr>
            <w:r>
              <w:rPr>
                <w:rFonts w:hint="eastAsia"/>
              </w:rPr>
              <w:t>0.77</w:t>
            </w:r>
          </w:p>
        </w:tc>
        <w:tc>
          <w:tcPr>
            <w:tcW w:w="1519" w:type="dxa"/>
            <w:shd w:val="clear" w:color="000000" w:fill="FFFFFF"/>
            <w:noWrap/>
            <w:vAlign w:val="center"/>
          </w:tcPr>
          <w:p w14:paraId="7A403F02">
            <w:pPr>
              <w:pStyle w:val="48"/>
            </w:pPr>
            <w:r>
              <w:rPr>
                <w:rFonts w:hint="eastAsia"/>
              </w:rPr>
              <w:t>0.82</w:t>
            </w:r>
          </w:p>
        </w:tc>
      </w:tr>
      <w:tr w14:paraId="006D4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715" w:type="dxa"/>
            <w:vMerge w:val="continue"/>
            <w:vAlign w:val="center"/>
          </w:tcPr>
          <w:p w14:paraId="747A4956">
            <w:pPr>
              <w:pStyle w:val="48"/>
            </w:pPr>
          </w:p>
        </w:tc>
        <w:tc>
          <w:tcPr>
            <w:tcW w:w="1115" w:type="dxa"/>
            <w:vMerge w:val="continue"/>
            <w:vAlign w:val="center"/>
          </w:tcPr>
          <w:p w14:paraId="4D7E8CD7">
            <w:pPr>
              <w:pStyle w:val="48"/>
            </w:pPr>
          </w:p>
        </w:tc>
        <w:tc>
          <w:tcPr>
            <w:tcW w:w="2090" w:type="dxa"/>
            <w:shd w:val="clear" w:color="000000" w:fill="FFFFFF"/>
            <w:noWrap/>
            <w:vAlign w:val="center"/>
          </w:tcPr>
          <w:p w14:paraId="270FBF73">
            <w:pPr>
              <w:pStyle w:val="48"/>
            </w:pPr>
            <w:r>
              <w:rPr>
                <w:rFonts w:hint="eastAsia"/>
              </w:rPr>
              <w:t>医疗卫生用地</w:t>
            </w:r>
          </w:p>
        </w:tc>
        <w:tc>
          <w:tcPr>
            <w:tcW w:w="1812" w:type="dxa"/>
            <w:shd w:val="clear" w:color="000000" w:fill="FFFFFF"/>
            <w:noWrap/>
            <w:vAlign w:val="center"/>
          </w:tcPr>
          <w:p w14:paraId="7BC7EB19">
            <w:pPr>
              <w:pStyle w:val="48"/>
            </w:pPr>
            <w:r>
              <w:rPr>
                <w:rFonts w:hint="eastAsia"/>
              </w:rPr>
              <w:t>10.08</w:t>
            </w:r>
          </w:p>
        </w:tc>
        <w:tc>
          <w:tcPr>
            <w:tcW w:w="1672" w:type="dxa"/>
            <w:shd w:val="clear" w:color="000000" w:fill="FFFFFF"/>
            <w:noWrap/>
            <w:vAlign w:val="center"/>
          </w:tcPr>
          <w:p w14:paraId="01491571">
            <w:pPr>
              <w:pStyle w:val="48"/>
            </w:pPr>
            <w:r>
              <w:rPr>
                <w:rFonts w:hint="eastAsia"/>
              </w:rPr>
              <w:t>0.97</w:t>
            </w:r>
          </w:p>
        </w:tc>
        <w:tc>
          <w:tcPr>
            <w:tcW w:w="1519" w:type="dxa"/>
            <w:shd w:val="clear" w:color="000000" w:fill="FFFFFF"/>
            <w:noWrap/>
            <w:vAlign w:val="center"/>
          </w:tcPr>
          <w:p w14:paraId="05746E54">
            <w:pPr>
              <w:pStyle w:val="48"/>
            </w:pPr>
            <w:r>
              <w:rPr>
                <w:rFonts w:hint="eastAsia"/>
              </w:rPr>
              <w:t>1.02</w:t>
            </w:r>
          </w:p>
        </w:tc>
      </w:tr>
      <w:tr w14:paraId="00C4F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15" w:type="dxa"/>
            <w:vMerge w:val="continue"/>
            <w:vAlign w:val="center"/>
          </w:tcPr>
          <w:p w14:paraId="3B4F6596">
            <w:pPr>
              <w:pStyle w:val="48"/>
            </w:pPr>
          </w:p>
        </w:tc>
        <w:tc>
          <w:tcPr>
            <w:tcW w:w="1115" w:type="dxa"/>
            <w:vMerge w:val="continue"/>
            <w:vAlign w:val="center"/>
          </w:tcPr>
          <w:p w14:paraId="72BE8CD5">
            <w:pPr>
              <w:pStyle w:val="48"/>
            </w:pPr>
          </w:p>
        </w:tc>
        <w:tc>
          <w:tcPr>
            <w:tcW w:w="2090" w:type="dxa"/>
            <w:shd w:val="clear" w:color="000000" w:fill="FFFFFF"/>
            <w:noWrap/>
            <w:vAlign w:val="center"/>
          </w:tcPr>
          <w:p w14:paraId="4994B130">
            <w:pPr>
              <w:pStyle w:val="48"/>
            </w:pPr>
            <w:r>
              <w:rPr>
                <w:rFonts w:hint="eastAsia"/>
              </w:rPr>
              <w:t>社会福利用地</w:t>
            </w:r>
          </w:p>
        </w:tc>
        <w:tc>
          <w:tcPr>
            <w:tcW w:w="1812" w:type="dxa"/>
            <w:shd w:val="clear" w:color="000000" w:fill="FFFFFF"/>
            <w:noWrap/>
            <w:vAlign w:val="center"/>
          </w:tcPr>
          <w:p w14:paraId="0F0AA9B9">
            <w:pPr>
              <w:pStyle w:val="48"/>
            </w:pPr>
            <w:r>
              <w:rPr>
                <w:rFonts w:hint="eastAsia"/>
              </w:rPr>
              <w:t>1.13</w:t>
            </w:r>
          </w:p>
        </w:tc>
        <w:tc>
          <w:tcPr>
            <w:tcW w:w="1672" w:type="dxa"/>
            <w:shd w:val="clear" w:color="000000" w:fill="FFFFFF"/>
            <w:noWrap/>
            <w:vAlign w:val="center"/>
          </w:tcPr>
          <w:p w14:paraId="04EDDE35">
            <w:pPr>
              <w:pStyle w:val="48"/>
            </w:pPr>
            <w:r>
              <w:rPr>
                <w:rFonts w:hint="eastAsia"/>
              </w:rPr>
              <w:t>0.11</w:t>
            </w:r>
          </w:p>
        </w:tc>
        <w:tc>
          <w:tcPr>
            <w:tcW w:w="1519" w:type="dxa"/>
            <w:shd w:val="clear" w:color="000000" w:fill="FFFFFF"/>
            <w:noWrap/>
            <w:vAlign w:val="center"/>
          </w:tcPr>
          <w:p w14:paraId="34C6EB52">
            <w:pPr>
              <w:pStyle w:val="48"/>
            </w:pPr>
            <w:r>
              <w:rPr>
                <w:rFonts w:hint="eastAsia"/>
              </w:rPr>
              <w:t>0.11</w:t>
            </w:r>
          </w:p>
        </w:tc>
      </w:tr>
      <w:tr w14:paraId="2ECB5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vMerge w:val="continue"/>
            <w:vAlign w:val="center"/>
          </w:tcPr>
          <w:p w14:paraId="1AFBB52F">
            <w:pPr>
              <w:pStyle w:val="48"/>
            </w:pPr>
          </w:p>
        </w:tc>
        <w:tc>
          <w:tcPr>
            <w:tcW w:w="1115" w:type="dxa"/>
            <w:vMerge w:val="continue"/>
            <w:vAlign w:val="center"/>
          </w:tcPr>
          <w:p w14:paraId="08E1C598">
            <w:pPr>
              <w:pStyle w:val="48"/>
            </w:pPr>
          </w:p>
        </w:tc>
        <w:tc>
          <w:tcPr>
            <w:tcW w:w="2090" w:type="dxa"/>
            <w:shd w:val="clear" w:color="000000" w:fill="FFFFFF"/>
            <w:noWrap/>
            <w:vAlign w:val="center"/>
          </w:tcPr>
          <w:p w14:paraId="59F10CAC">
            <w:pPr>
              <w:pStyle w:val="48"/>
            </w:pPr>
            <w:r>
              <w:rPr>
                <w:rFonts w:hint="eastAsia"/>
              </w:rPr>
              <w:t>文物古迹用地</w:t>
            </w:r>
          </w:p>
        </w:tc>
        <w:tc>
          <w:tcPr>
            <w:tcW w:w="1812" w:type="dxa"/>
            <w:shd w:val="clear" w:color="000000" w:fill="FFFFFF"/>
            <w:noWrap/>
            <w:vAlign w:val="center"/>
          </w:tcPr>
          <w:p w14:paraId="3456D80D">
            <w:pPr>
              <w:pStyle w:val="48"/>
            </w:pPr>
            <w:r>
              <w:rPr>
                <w:rFonts w:hint="eastAsia"/>
              </w:rPr>
              <w:t>2.28</w:t>
            </w:r>
          </w:p>
        </w:tc>
        <w:tc>
          <w:tcPr>
            <w:tcW w:w="1672" w:type="dxa"/>
            <w:shd w:val="clear" w:color="000000" w:fill="FFFFFF"/>
            <w:noWrap/>
            <w:vAlign w:val="center"/>
          </w:tcPr>
          <w:p w14:paraId="20728012">
            <w:pPr>
              <w:pStyle w:val="48"/>
            </w:pPr>
            <w:r>
              <w:rPr>
                <w:rFonts w:hint="eastAsia"/>
              </w:rPr>
              <w:t>0.22</w:t>
            </w:r>
          </w:p>
        </w:tc>
        <w:tc>
          <w:tcPr>
            <w:tcW w:w="1519" w:type="dxa"/>
            <w:shd w:val="clear" w:color="000000" w:fill="FFFFFF"/>
            <w:noWrap/>
            <w:vAlign w:val="center"/>
          </w:tcPr>
          <w:p w14:paraId="65EA7370">
            <w:pPr>
              <w:pStyle w:val="48"/>
            </w:pPr>
            <w:r>
              <w:rPr>
                <w:rFonts w:hint="eastAsia"/>
              </w:rPr>
              <w:t>0.23</w:t>
            </w:r>
          </w:p>
        </w:tc>
      </w:tr>
      <w:tr w14:paraId="625CC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15" w:type="dxa"/>
            <w:vMerge w:val="continue"/>
            <w:vAlign w:val="center"/>
          </w:tcPr>
          <w:p w14:paraId="746ADBD6">
            <w:pPr>
              <w:pStyle w:val="48"/>
            </w:pPr>
          </w:p>
        </w:tc>
        <w:tc>
          <w:tcPr>
            <w:tcW w:w="1115" w:type="dxa"/>
            <w:vMerge w:val="continue"/>
            <w:vAlign w:val="center"/>
          </w:tcPr>
          <w:p w14:paraId="0D865370">
            <w:pPr>
              <w:pStyle w:val="48"/>
            </w:pPr>
          </w:p>
        </w:tc>
        <w:tc>
          <w:tcPr>
            <w:tcW w:w="2090" w:type="dxa"/>
            <w:shd w:val="clear" w:color="000000" w:fill="FFFFFF"/>
            <w:noWrap/>
            <w:vAlign w:val="center"/>
          </w:tcPr>
          <w:p w14:paraId="42EBE8B4">
            <w:pPr>
              <w:pStyle w:val="48"/>
            </w:pPr>
            <w:r>
              <w:rPr>
                <w:rFonts w:hint="eastAsia"/>
              </w:rPr>
              <w:t>宗教用地</w:t>
            </w:r>
          </w:p>
        </w:tc>
        <w:tc>
          <w:tcPr>
            <w:tcW w:w="1812" w:type="dxa"/>
            <w:shd w:val="clear" w:color="000000" w:fill="FFFFFF"/>
            <w:noWrap/>
            <w:vAlign w:val="center"/>
          </w:tcPr>
          <w:p w14:paraId="269FA330">
            <w:pPr>
              <w:pStyle w:val="48"/>
            </w:pPr>
            <w:r>
              <w:rPr>
                <w:rFonts w:hint="eastAsia"/>
              </w:rPr>
              <w:t>0.41</w:t>
            </w:r>
          </w:p>
        </w:tc>
        <w:tc>
          <w:tcPr>
            <w:tcW w:w="1672" w:type="dxa"/>
            <w:shd w:val="clear" w:color="000000" w:fill="FFFFFF"/>
            <w:noWrap/>
            <w:vAlign w:val="center"/>
          </w:tcPr>
          <w:p w14:paraId="62C452E6">
            <w:pPr>
              <w:pStyle w:val="48"/>
            </w:pPr>
            <w:r>
              <w:rPr>
                <w:rFonts w:hint="eastAsia"/>
              </w:rPr>
              <w:t>0.04</w:t>
            </w:r>
          </w:p>
        </w:tc>
        <w:tc>
          <w:tcPr>
            <w:tcW w:w="1519" w:type="dxa"/>
            <w:shd w:val="clear" w:color="000000" w:fill="FFFFFF"/>
            <w:noWrap/>
            <w:vAlign w:val="center"/>
          </w:tcPr>
          <w:p w14:paraId="2854D944">
            <w:pPr>
              <w:pStyle w:val="48"/>
            </w:pPr>
            <w:r>
              <w:rPr>
                <w:rFonts w:hint="eastAsia"/>
              </w:rPr>
              <w:t>0.04</w:t>
            </w:r>
          </w:p>
        </w:tc>
      </w:tr>
      <w:tr w14:paraId="2531C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shd w:val="clear" w:color="000000" w:fill="FFFFFF"/>
            <w:noWrap/>
            <w:vAlign w:val="center"/>
          </w:tcPr>
          <w:p w14:paraId="28325AA6">
            <w:pPr>
              <w:pStyle w:val="48"/>
            </w:pPr>
            <w:r>
              <w:rPr>
                <w:rFonts w:hint="eastAsia"/>
              </w:rPr>
              <w:t>B</w:t>
            </w:r>
          </w:p>
        </w:tc>
        <w:tc>
          <w:tcPr>
            <w:tcW w:w="3206" w:type="dxa"/>
            <w:gridSpan w:val="2"/>
            <w:shd w:val="clear" w:color="000000" w:fill="FFFFFF"/>
            <w:noWrap/>
            <w:vAlign w:val="center"/>
          </w:tcPr>
          <w:p w14:paraId="189BC324">
            <w:pPr>
              <w:pStyle w:val="48"/>
            </w:pPr>
            <w:r>
              <w:rPr>
                <w:rFonts w:hint="eastAsia"/>
              </w:rPr>
              <w:t>商业服务业设施用地</w:t>
            </w:r>
          </w:p>
        </w:tc>
        <w:tc>
          <w:tcPr>
            <w:tcW w:w="1812" w:type="dxa"/>
            <w:shd w:val="clear" w:color="000000" w:fill="FFFFFF"/>
            <w:noWrap/>
            <w:vAlign w:val="center"/>
          </w:tcPr>
          <w:p w14:paraId="28D602E0">
            <w:pPr>
              <w:pStyle w:val="48"/>
            </w:pPr>
            <w:r>
              <w:rPr>
                <w:rFonts w:hint="eastAsia"/>
              </w:rPr>
              <w:t>113.33</w:t>
            </w:r>
          </w:p>
        </w:tc>
        <w:tc>
          <w:tcPr>
            <w:tcW w:w="1672" w:type="dxa"/>
            <w:shd w:val="clear" w:color="000000" w:fill="FFFFFF"/>
            <w:noWrap/>
            <w:vAlign w:val="center"/>
          </w:tcPr>
          <w:p w14:paraId="6904885A">
            <w:pPr>
              <w:pStyle w:val="48"/>
            </w:pPr>
            <w:r>
              <w:rPr>
                <w:rFonts w:hint="eastAsia"/>
              </w:rPr>
              <w:t>10.86</w:t>
            </w:r>
          </w:p>
        </w:tc>
        <w:tc>
          <w:tcPr>
            <w:tcW w:w="1519" w:type="dxa"/>
            <w:shd w:val="clear" w:color="000000" w:fill="FFFFFF"/>
            <w:noWrap/>
            <w:vAlign w:val="center"/>
          </w:tcPr>
          <w:p w14:paraId="7A2D72A2">
            <w:pPr>
              <w:pStyle w:val="48"/>
            </w:pPr>
            <w:r>
              <w:rPr>
                <w:rFonts w:hint="eastAsia"/>
              </w:rPr>
              <w:t>11.45</w:t>
            </w:r>
          </w:p>
        </w:tc>
      </w:tr>
      <w:tr w14:paraId="2D8E7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shd w:val="clear" w:color="000000" w:fill="FFFFFF"/>
            <w:noWrap/>
            <w:vAlign w:val="center"/>
          </w:tcPr>
          <w:p w14:paraId="2F673FB4">
            <w:pPr>
              <w:pStyle w:val="48"/>
            </w:pPr>
            <w:r>
              <w:rPr>
                <w:rFonts w:hint="eastAsia"/>
              </w:rPr>
              <w:t>M</w:t>
            </w:r>
          </w:p>
        </w:tc>
        <w:tc>
          <w:tcPr>
            <w:tcW w:w="3206" w:type="dxa"/>
            <w:gridSpan w:val="2"/>
            <w:shd w:val="clear" w:color="000000" w:fill="FFFFFF"/>
            <w:noWrap/>
            <w:vAlign w:val="center"/>
          </w:tcPr>
          <w:p w14:paraId="5AE82BE0">
            <w:pPr>
              <w:pStyle w:val="48"/>
            </w:pPr>
            <w:r>
              <w:rPr>
                <w:rFonts w:hint="eastAsia"/>
              </w:rPr>
              <w:t>工业用地</w:t>
            </w:r>
          </w:p>
        </w:tc>
        <w:tc>
          <w:tcPr>
            <w:tcW w:w="1812" w:type="dxa"/>
            <w:shd w:val="clear" w:color="000000" w:fill="FFFFFF"/>
            <w:noWrap/>
            <w:vAlign w:val="center"/>
          </w:tcPr>
          <w:p w14:paraId="5F487433">
            <w:pPr>
              <w:pStyle w:val="48"/>
            </w:pPr>
            <w:r>
              <w:rPr>
                <w:rFonts w:hint="eastAsia"/>
              </w:rPr>
              <w:t>36.06</w:t>
            </w:r>
          </w:p>
        </w:tc>
        <w:tc>
          <w:tcPr>
            <w:tcW w:w="1672" w:type="dxa"/>
            <w:shd w:val="clear" w:color="000000" w:fill="FFFFFF"/>
            <w:noWrap/>
            <w:vAlign w:val="center"/>
          </w:tcPr>
          <w:p w14:paraId="74ADA024">
            <w:pPr>
              <w:pStyle w:val="48"/>
            </w:pPr>
            <w:r>
              <w:rPr>
                <w:rFonts w:hint="eastAsia"/>
              </w:rPr>
              <w:t>3.45</w:t>
            </w:r>
          </w:p>
        </w:tc>
        <w:tc>
          <w:tcPr>
            <w:tcW w:w="1519" w:type="dxa"/>
            <w:shd w:val="clear" w:color="000000" w:fill="FFFFFF"/>
            <w:noWrap/>
            <w:vAlign w:val="center"/>
          </w:tcPr>
          <w:p w14:paraId="107CAA60">
            <w:pPr>
              <w:pStyle w:val="48"/>
            </w:pPr>
            <w:r>
              <w:rPr>
                <w:rFonts w:hint="eastAsia"/>
              </w:rPr>
              <w:t>3.64</w:t>
            </w:r>
          </w:p>
        </w:tc>
      </w:tr>
      <w:tr w14:paraId="786CB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shd w:val="clear" w:color="000000" w:fill="FFFFFF"/>
            <w:noWrap/>
            <w:vAlign w:val="center"/>
          </w:tcPr>
          <w:p w14:paraId="1E96A68C">
            <w:pPr>
              <w:pStyle w:val="48"/>
            </w:pPr>
            <w:r>
              <w:rPr>
                <w:rFonts w:hint="eastAsia"/>
              </w:rPr>
              <w:t>W</w:t>
            </w:r>
          </w:p>
        </w:tc>
        <w:tc>
          <w:tcPr>
            <w:tcW w:w="3206" w:type="dxa"/>
            <w:gridSpan w:val="2"/>
            <w:shd w:val="clear" w:color="000000" w:fill="FFFFFF"/>
            <w:noWrap/>
            <w:vAlign w:val="center"/>
          </w:tcPr>
          <w:p w14:paraId="5A0222DB">
            <w:pPr>
              <w:pStyle w:val="48"/>
            </w:pPr>
            <w:r>
              <w:rPr>
                <w:rFonts w:hint="eastAsia"/>
              </w:rPr>
              <w:t>物流仓储用地</w:t>
            </w:r>
          </w:p>
        </w:tc>
        <w:tc>
          <w:tcPr>
            <w:tcW w:w="1812" w:type="dxa"/>
            <w:shd w:val="clear" w:color="000000" w:fill="FFFFFF"/>
            <w:noWrap/>
            <w:vAlign w:val="center"/>
          </w:tcPr>
          <w:p w14:paraId="0AA83271">
            <w:pPr>
              <w:pStyle w:val="48"/>
            </w:pPr>
            <w:r>
              <w:rPr>
                <w:rFonts w:hint="eastAsia"/>
              </w:rPr>
              <w:t>10.85</w:t>
            </w:r>
          </w:p>
        </w:tc>
        <w:tc>
          <w:tcPr>
            <w:tcW w:w="1672" w:type="dxa"/>
            <w:shd w:val="clear" w:color="000000" w:fill="FFFFFF"/>
            <w:noWrap/>
            <w:vAlign w:val="center"/>
          </w:tcPr>
          <w:p w14:paraId="73412DD4">
            <w:pPr>
              <w:pStyle w:val="48"/>
            </w:pPr>
            <w:r>
              <w:rPr>
                <w:rFonts w:hint="eastAsia"/>
              </w:rPr>
              <w:t>1.04</w:t>
            </w:r>
          </w:p>
        </w:tc>
        <w:tc>
          <w:tcPr>
            <w:tcW w:w="1519" w:type="dxa"/>
            <w:shd w:val="clear" w:color="000000" w:fill="FFFFFF"/>
            <w:noWrap/>
            <w:vAlign w:val="center"/>
          </w:tcPr>
          <w:p w14:paraId="6CB34AEF">
            <w:pPr>
              <w:pStyle w:val="48"/>
            </w:pPr>
            <w:r>
              <w:rPr>
                <w:rFonts w:hint="eastAsia"/>
              </w:rPr>
              <w:t>1.10</w:t>
            </w:r>
          </w:p>
        </w:tc>
      </w:tr>
      <w:tr w14:paraId="7B6DD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vMerge w:val="restart"/>
            <w:shd w:val="clear" w:color="000000" w:fill="FFFFFF"/>
            <w:noWrap/>
            <w:vAlign w:val="center"/>
          </w:tcPr>
          <w:p w14:paraId="2C8CF1AF">
            <w:pPr>
              <w:pStyle w:val="48"/>
            </w:pPr>
            <w:r>
              <w:rPr>
                <w:rFonts w:hint="eastAsia"/>
              </w:rPr>
              <w:t>S</w:t>
            </w:r>
          </w:p>
        </w:tc>
        <w:tc>
          <w:tcPr>
            <w:tcW w:w="3206" w:type="dxa"/>
            <w:gridSpan w:val="2"/>
            <w:shd w:val="clear" w:color="000000" w:fill="FFFFFF"/>
            <w:noWrap/>
            <w:vAlign w:val="center"/>
          </w:tcPr>
          <w:p w14:paraId="2E2E294B">
            <w:pPr>
              <w:pStyle w:val="48"/>
            </w:pPr>
            <w:r>
              <w:rPr>
                <w:rFonts w:hint="eastAsia"/>
              </w:rPr>
              <w:t>道路与交通设施用地</w:t>
            </w:r>
          </w:p>
        </w:tc>
        <w:tc>
          <w:tcPr>
            <w:tcW w:w="1812" w:type="dxa"/>
            <w:shd w:val="clear" w:color="000000" w:fill="FFFFFF"/>
            <w:noWrap/>
            <w:vAlign w:val="center"/>
          </w:tcPr>
          <w:p w14:paraId="005B8A9F">
            <w:pPr>
              <w:pStyle w:val="48"/>
            </w:pPr>
            <w:r>
              <w:rPr>
                <w:rFonts w:hint="eastAsia"/>
              </w:rPr>
              <w:t>158.85</w:t>
            </w:r>
          </w:p>
        </w:tc>
        <w:tc>
          <w:tcPr>
            <w:tcW w:w="1672" w:type="dxa"/>
            <w:shd w:val="clear" w:color="000000" w:fill="FFFFFF"/>
            <w:noWrap/>
            <w:vAlign w:val="center"/>
          </w:tcPr>
          <w:p w14:paraId="7A689EE3">
            <w:pPr>
              <w:pStyle w:val="48"/>
            </w:pPr>
            <w:r>
              <w:rPr>
                <w:rFonts w:hint="eastAsia"/>
              </w:rPr>
              <w:t>15.22</w:t>
            </w:r>
          </w:p>
        </w:tc>
        <w:tc>
          <w:tcPr>
            <w:tcW w:w="1519" w:type="dxa"/>
            <w:shd w:val="clear" w:color="000000" w:fill="FFFFFF"/>
            <w:noWrap/>
            <w:vAlign w:val="center"/>
          </w:tcPr>
          <w:p w14:paraId="7154614B">
            <w:pPr>
              <w:pStyle w:val="48"/>
            </w:pPr>
            <w:r>
              <w:rPr>
                <w:rFonts w:hint="eastAsia"/>
              </w:rPr>
              <w:t>16.05</w:t>
            </w:r>
          </w:p>
        </w:tc>
      </w:tr>
      <w:tr w14:paraId="2C9E2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vMerge w:val="continue"/>
            <w:vAlign w:val="center"/>
          </w:tcPr>
          <w:p w14:paraId="2FCC9F8C">
            <w:pPr>
              <w:pStyle w:val="48"/>
            </w:pPr>
          </w:p>
        </w:tc>
        <w:tc>
          <w:tcPr>
            <w:tcW w:w="3206" w:type="dxa"/>
            <w:gridSpan w:val="2"/>
            <w:shd w:val="clear" w:color="000000" w:fill="FFFFFF"/>
            <w:noWrap/>
            <w:vAlign w:val="center"/>
          </w:tcPr>
          <w:p w14:paraId="362785AF">
            <w:pPr>
              <w:pStyle w:val="48"/>
            </w:pPr>
            <w:r>
              <w:rPr>
                <w:rFonts w:hint="eastAsia"/>
              </w:rPr>
              <w:t>其中：交通设施用地</w:t>
            </w:r>
          </w:p>
        </w:tc>
        <w:tc>
          <w:tcPr>
            <w:tcW w:w="1812" w:type="dxa"/>
            <w:shd w:val="clear" w:color="000000" w:fill="FFFFFF"/>
            <w:noWrap/>
            <w:vAlign w:val="center"/>
          </w:tcPr>
          <w:p w14:paraId="3C5151BC">
            <w:pPr>
              <w:pStyle w:val="48"/>
            </w:pPr>
            <w:r>
              <w:rPr>
                <w:rFonts w:hint="eastAsia"/>
              </w:rPr>
              <w:t>9.79</w:t>
            </w:r>
          </w:p>
        </w:tc>
        <w:tc>
          <w:tcPr>
            <w:tcW w:w="1672" w:type="dxa"/>
            <w:shd w:val="clear" w:color="000000" w:fill="FFFFFF"/>
            <w:noWrap/>
            <w:vAlign w:val="center"/>
          </w:tcPr>
          <w:p w14:paraId="75E49881">
            <w:pPr>
              <w:pStyle w:val="48"/>
            </w:pPr>
            <w:r>
              <w:rPr>
                <w:rFonts w:hint="eastAsia"/>
              </w:rPr>
              <w:t>0.94</w:t>
            </w:r>
          </w:p>
        </w:tc>
        <w:tc>
          <w:tcPr>
            <w:tcW w:w="1519" w:type="dxa"/>
            <w:shd w:val="clear" w:color="000000" w:fill="FFFFFF"/>
            <w:noWrap/>
            <w:vAlign w:val="center"/>
          </w:tcPr>
          <w:p w14:paraId="287F5F48">
            <w:pPr>
              <w:pStyle w:val="48"/>
            </w:pPr>
            <w:r>
              <w:rPr>
                <w:rFonts w:hint="eastAsia"/>
              </w:rPr>
              <w:t>0.99</w:t>
            </w:r>
          </w:p>
        </w:tc>
      </w:tr>
      <w:tr w14:paraId="2699A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vMerge w:val="continue"/>
            <w:vAlign w:val="center"/>
          </w:tcPr>
          <w:p w14:paraId="7976558F">
            <w:pPr>
              <w:pStyle w:val="48"/>
            </w:pPr>
          </w:p>
        </w:tc>
        <w:tc>
          <w:tcPr>
            <w:tcW w:w="3206" w:type="dxa"/>
            <w:gridSpan w:val="2"/>
            <w:shd w:val="clear" w:color="000000" w:fill="FFFFFF"/>
            <w:noWrap/>
            <w:vAlign w:val="center"/>
          </w:tcPr>
          <w:p w14:paraId="3F3DE7EF">
            <w:pPr>
              <w:pStyle w:val="48"/>
            </w:pPr>
            <w:r>
              <w:rPr>
                <w:rFonts w:hint="eastAsia"/>
              </w:rPr>
              <w:t>其中：城市道路用地</w:t>
            </w:r>
          </w:p>
        </w:tc>
        <w:tc>
          <w:tcPr>
            <w:tcW w:w="1812" w:type="dxa"/>
            <w:shd w:val="clear" w:color="000000" w:fill="FFFFFF"/>
            <w:noWrap/>
            <w:vAlign w:val="center"/>
          </w:tcPr>
          <w:p w14:paraId="252069FF">
            <w:pPr>
              <w:pStyle w:val="48"/>
            </w:pPr>
            <w:r>
              <w:rPr>
                <w:rFonts w:hint="eastAsia"/>
              </w:rPr>
              <w:t>149.06</w:t>
            </w:r>
          </w:p>
        </w:tc>
        <w:tc>
          <w:tcPr>
            <w:tcW w:w="1672" w:type="dxa"/>
            <w:shd w:val="clear" w:color="000000" w:fill="FFFFFF"/>
            <w:noWrap/>
            <w:vAlign w:val="center"/>
          </w:tcPr>
          <w:p w14:paraId="64CF481C">
            <w:pPr>
              <w:pStyle w:val="48"/>
            </w:pPr>
            <w:r>
              <w:rPr>
                <w:rFonts w:hint="eastAsia"/>
              </w:rPr>
              <w:t>14.28</w:t>
            </w:r>
          </w:p>
        </w:tc>
        <w:tc>
          <w:tcPr>
            <w:tcW w:w="1519" w:type="dxa"/>
            <w:shd w:val="clear" w:color="000000" w:fill="FFFFFF"/>
            <w:noWrap/>
            <w:vAlign w:val="center"/>
          </w:tcPr>
          <w:p w14:paraId="4DAB5415">
            <w:pPr>
              <w:pStyle w:val="48"/>
            </w:pPr>
            <w:r>
              <w:rPr>
                <w:rFonts w:hint="eastAsia"/>
              </w:rPr>
              <w:t>15.06</w:t>
            </w:r>
          </w:p>
        </w:tc>
      </w:tr>
      <w:tr w14:paraId="24FC2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shd w:val="clear" w:color="000000" w:fill="FFFFFF"/>
            <w:noWrap/>
            <w:vAlign w:val="center"/>
          </w:tcPr>
          <w:p w14:paraId="30186AA1">
            <w:pPr>
              <w:pStyle w:val="48"/>
            </w:pPr>
            <w:r>
              <w:rPr>
                <w:rFonts w:hint="eastAsia"/>
              </w:rPr>
              <w:t>U</w:t>
            </w:r>
          </w:p>
        </w:tc>
        <w:tc>
          <w:tcPr>
            <w:tcW w:w="3206" w:type="dxa"/>
            <w:gridSpan w:val="2"/>
            <w:shd w:val="clear" w:color="000000" w:fill="FFFFFF"/>
            <w:noWrap/>
            <w:vAlign w:val="center"/>
          </w:tcPr>
          <w:p w14:paraId="432973E8">
            <w:pPr>
              <w:pStyle w:val="48"/>
            </w:pPr>
            <w:r>
              <w:rPr>
                <w:rFonts w:hint="eastAsia"/>
              </w:rPr>
              <w:t>公用设施用地</w:t>
            </w:r>
          </w:p>
        </w:tc>
        <w:tc>
          <w:tcPr>
            <w:tcW w:w="1812" w:type="dxa"/>
            <w:shd w:val="clear" w:color="000000" w:fill="FFFFFF"/>
            <w:noWrap/>
            <w:vAlign w:val="center"/>
          </w:tcPr>
          <w:p w14:paraId="0AE2591D">
            <w:pPr>
              <w:pStyle w:val="48"/>
            </w:pPr>
            <w:r>
              <w:rPr>
                <w:rFonts w:hint="eastAsia"/>
              </w:rPr>
              <w:t>17.36</w:t>
            </w:r>
          </w:p>
        </w:tc>
        <w:tc>
          <w:tcPr>
            <w:tcW w:w="1672" w:type="dxa"/>
            <w:shd w:val="clear" w:color="000000" w:fill="FFFFFF"/>
            <w:noWrap/>
            <w:vAlign w:val="center"/>
          </w:tcPr>
          <w:p w14:paraId="34BDD11F">
            <w:pPr>
              <w:pStyle w:val="48"/>
            </w:pPr>
            <w:r>
              <w:rPr>
                <w:rFonts w:hint="eastAsia"/>
              </w:rPr>
              <w:t>1.66</w:t>
            </w:r>
          </w:p>
        </w:tc>
        <w:tc>
          <w:tcPr>
            <w:tcW w:w="1519" w:type="dxa"/>
            <w:shd w:val="clear" w:color="000000" w:fill="FFFFFF"/>
            <w:noWrap/>
            <w:vAlign w:val="center"/>
          </w:tcPr>
          <w:p w14:paraId="776B2FD7">
            <w:pPr>
              <w:pStyle w:val="48"/>
            </w:pPr>
            <w:r>
              <w:rPr>
                <w:rFonts w:hint="eastAsia"/>
              </w:rPr>
              <w:t>1.75</w:t>
            </w:r>
          </w:p>
        </w:tc>
      </w:tr>
      <w:tr w14:paraId="3E767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vMerge w:val="restart"/>
            <w:shd w:val="clear" w:color="000000" w:fill="FFFFFF"/>
            <w:noWrap/>
            <w:vAlign w:val="center"/>
          </w:tcPr>
          <w:p w14:paraId="031501BA">
            <w:pPr>
              <w:pStyle w:val="48"/>
            </w:pPr>
            <w:r>
              <w:rPr>
                <w:rFonts w:hint="eastAsia"/>
              </w:rPr>
              <w:t>G</w:t>
            </w:r>
          </w:p>
        </w:tc>
        <w:tc>
          <w:tcPr>
            <w:tcW w:w="3206" w:type="dxa"/>
            <w:gridSpan w:val="2"/>
            <w:shd w:val="clear" w:color="000000" w:fill="FFFFFF"/>
            <w:noWrap/>
            <w:vAlign w:val="center"/>
          </w:tcPr>
          <w:p w14:paraId="55105FEC">
            <w:pPr>
              <w:pStyle w:val="48"/>
            </w:pPr>
            <w:r>
              <w:rPr>
                <w:rFonts w:hint="eastAsia"/>
              </w:rPr>
              <w:t>绿地与广场用地</w:t>
            </w:r>
          </w:p>
        </w:tc>
        <w:tc>
          <w:tcPr>
            <w:tcW w:w="1812" w:type="dxa"/>
            <w:shd w:val="clear" w:color="000000" w:fill="FFFFFF"/>
            <w:noWrap/>
            <w:vAlign w:val="center"/>
          </w:tcPr>
          <w:p w14:paraId="5F4BAC2A">
            <w:pPr>
              <w:pStyle w:val="48"/>
            </w:pPr>
            <w:r>
              <w:rPr>
                <w:rFonts w:hint="eastAsia"/>
              </w:rPr>
              <w:t>199.10</w:t>
            </w:r>
          </w:p>
        </w:tc>
        <w:tc>
          <w:tcPr>
            <w:tcW w:w="1672" w:type="dxa"/>
            <w:shd w:val="clear" w:color="000000" w:fill="FFFFFF"/>
            <w:noWrap/>
            <w:vAlign w:val="center"/>
          </w:tcPr>
          <w:p w14:paraId="789F144B">
            <w:pPr>
              <w:pStyle w:val="48"/>
            </w:pPr>
            <w:r>
              <w:rPr>
                <w:rFonts w:hint="eastAsia"/>
              </w:rPr>
              <w:t>19.08</w:t>
            </w:r>
          </w:p>
        </w:tc>
        <w:tc>
          <w:tcPr>
            <w:tcW w:w="1519" w:type="dxa"/>
            <w:shd w:val="clear" w:color="000000" w:fill="FFFFFF"/>
            <w:noWrap/>
            <w:vAlign w:val="center"/>
          </w:tcPr>
          <w:p w14:paraId="640808A2">
            <w:pPr>
              <w:pStyle w:val="48"/>
            </w:pPr>
            <w:r>
              <w:rPr>
                <w:rFonts w:hint="eastAsia"/>
              </w:rPr>
              <w:t>20.11</w:t>
            </w:r>
          </w:p>
        </w:tc>
      </w:tr>
      <w:tr w14:paraId="38F89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vMerge w:val="continue"/>
            <w:vAlign w:val="center"/>
          </w:tcPr>
          <w:p w14:paraId="79690E7C">
            <w:pPr>
              <w:pStyle w:val="48"/>
            </w:pPr>
          </w:p>
        </w:tc>
        <w:tc>
          <w:tcPr>
            <w:tcW w:w="3206" w:type="dxa"/>
            <w:gridSpan w:val="2"/>
            <w:shd w:val="clear" w:color="000000" w:fill="FFFFFF"/>
            <w:noWrap/>
            <w:vAlign w:val="center"/>
          </w:tcPr>
          <w:p w14:paraId="1686E351">
            <w:pPr>
              <w:pStyle w:val="48"/>
            </w:pPr>
            <w:r>
              <w:rPr>
                <w:rFonts w:hint="eastAsia"/>
              </w:rPr>
              <w:t>其中：公园绿地</w:t>
            </w:r>
          </w:p>
        </w:tc>
        <w:tc>
          <w:tcPr>
            <w:tcW w:w="1812" w:type="dxa"/>
            <w:shd w:val="clear" w:color="000000" w:fill="FFFFFF"/>
            <w:noWrap/>
            <w:vAlign w:val="center"/>
          </w:tcPr>
          <w:p w14:paraId="3DFF7211">
            <w:pPr>
              <w:pStyle w:val="48"/>
            </w:pPr>
            <w:r>
              <w:rPr>
                <w:rFonts w:hint="eastAsia"/>
              </w:rPr>
              <w:t>153.46</w:t>
            </w:r>
          </w:p>
        </w:tc>
        <w:tc>
          <w:tcPr>
            <w:tcW w:w="1672" w:type="dxa"/>
            <w:shd w:val="clear" w:color="000000" w:fill="FFFFFF"/>
            <w:noWrap/>
            <w:vAlign w:val="center"/>
          </w:tcPr>
          <w:p w14:paraId="2CE83E7D">
            <w:pPr>
              <w:pStyle w:val="48"/>
            </w:pPr>
            <w:r>
              <w:rPr>
                <w:rFonts w:hint="eastAsia"/>
              </w:rPr>
              <w:t>14.67</w:t>
            </w:r>
          </w:p>
        </w:tc>
        <w:tc>
          <w:tcPr>
            <w:tcW w:w="1519" w:type="dxa"/>
            <w:shd w:val="clear" w:color="000000" w:fill="FFFFFF"/>
            <w:noWrap/>
            <w:vAlign w:val="center"/>
          </w:tcPr>
          <w:p w14:paraId="26DF8377">
            <w:pPr>
              <w:pStyle w:val="48"/>
            </w:pPr>
            <w:r>
              <w:rPr>
                <w:rFonts w:hint="eastAsia"/>
              </w:rPr>
              <w:t>15.47</w:t>
            </w:r>
          </w:p>
        </w:tc>
      </w:tr>
      <w:tr w14:paraId="3E18A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vMerge w:val="continue"/>
            <w:vAlign w:val="center"/>
          </w:tcPr>
          <w:p w14:paraId="28CBCCD3">
            <w:pPr>
              <w:pStyle w:val="48"/>
            </w:pPr>
          </w:p>
        </w:tc>
        <w:tc>
          <w:tcPr>
            <w:tcW w:w="3206" w:type="dxa"/>
            <w:gridSpan w:val="2"/>
            <w:shd w:val="clear" w:color="000000" w:fill="FFFFFF"/>
            <w:noWrap/>
            <w:vAlign w:val="center"/>
          </w:tcPr>
          <w:p w14:paraId="1A42B06A">
            <w:pPr>
              <w:pStyle w:val="48"/>
            </w:pPr>
            <w:r>
              <w:rPr>
                <w:rFonts w:hint="eastAsia"/>
              </w:rPr>
              <w:t>防护绿地</w:t>
            </w:r>
          </w:p>
        </w:tc>
        <w:tc>
          <w:tcPr>
            <w:tcW w:w="1812" w:type="dxa"/>
            <w:shd w:val="clear" w:color="000000" w:fill="FFFFFF"/>
            <w:noWrap/>
            <w:vAlign w:val="center"/>
          </w:tcPr>
          <w:p w14:paraId="6E060EC0">
            <w:pPr>
              <w:pStyle w:val="48"/>
            </w:pPr>
            <w:r>
              <w:rPr>
                <w:rFonts w:hint="eastAsia"/>
              </w:rPr>
              <w:t>39.01</w:t>
            </w:r>
          </w:p>
        </w:tc>
        <w:tc>
          <w:tcPr>
            <w:tcW w:w="1672" w:type="dxa"/>
            <w:shd w:val="clear" w:color="000000" w:fill="FFFFFF"/>
            <w:noWrap/>
            <w:vAlign w:val="center"/>
          </w:tcPr>
          <w:p w14:paraId="7394EC86">
            <w:pPr>
              <w:pStyle w:val="48"/>
            </w:pPr>
            <w:r>
              <w:rPr>
                <w:rFonts w:hint="eastAsia"/>
              </w:rPr>
              <w:t>3.74</w:t>
            </w:r>
          </w:p>
        </w:tc>
        <w:tc>
          <w:tcPr>
            <w:tcW w:w="1519" w:type="dxa"/>
            <w:shd w:val="clear" w:color="000000" w:fill="FFFFFF"/>
            <w:noWrap/>
            <w:vAlign w:val="center"/>
          </w:tcPr>
          <w:p w14:paraId="794B8C27">
            <w:pPr>
              <w:pStyle w:val="48"/>
            </w:pPr>
            <w:r>
              <w:rPr>
                <w:rFonts w:hint="eastAsia"/>
              </w:rPr>
              <w:t>3.94</w:t>
            </w:r>
          </w:p>
        </w:tc>
      </w:tr>
      <w:tr w14:paraId="361BB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vMerge w:val="continue"/>
            <w:vAlign w:val="center"/>
          </w:tcPr>
          <w:p w14:paraId="27247BED">
            <w:pPr>
              <w:pStyle w:val="48"/>
            </w:pPr>
          </w:p>
        </w:tc>
        <w:tc>
          <w:tcPr>
            <w:tcW w:w="3206" w:type="dxa"/>
            <w:gridSpan w:val="2"/>
            <w:shd w:val="clear" w:color="000000" w:fill="FFFFFF"/>
            <w:noWrap/>
            <w:vAlign w:val="center"/>
          </w:tcPr>
          <w:p w14:paraId="514AA49A">
            <w:pPr>
              <w:pStyle w:val="48"/>
            </w:pPr>
            <w:r>
              <w:rPr>
                <w:rFonts w:hint="eastAsia"/>
              </w:rPr>
              <w:t>广场用地</w:t>
            </w:r>
          </w:p>
        </w:tc>
        <w:tc>
          <w:tcPr>
            <w:tcW w:w="1812" w:type="dxa"/>
            <w:shd w:val="clear" w:color="000000" w:fill="FFFFFF"/>
            <w:noWrap/>
            <w:vAlign w:val="center"/>
          </w:tcPr>
          <w:p w14:paraId="775DAD91">
            <w:pPr>
              <w:pStyle w:val="48"/>
            </w:pPr>
            <w:r>
              <w:rPr>
                <w:rFonts w:hint="eastAsia"/>
              </w:rPr>
              <w:t>6.98</w:t>
            </w:r>
          </w:p>
        </w:tc>
        <w:tc>
          <w:tcPr>
            <w:tcW w:w="1672" w:type="dxa"/>
            <w:shd w:val="clear" w:color="000000" w:fill="FFFFFF"/>
            <w:noWrap/>
            <w:vAlign w:val="center"/>
          </w:tcPr>
          <w:p w14:paraId="7005B890">
            <w:pPr>
              <w:pStyle w:val="48"/>
            </w:pPr>
            <w:r>
              <w:rPr>
                <w:rFonts w:hint="eastAsia"/>
              </w:rPr>
              <w:t>0.67</w:t>
            </w:r>
          </w:p>
        </w:tc>
        <w:tc>
          <w:tcPr>
            <w:tcW w:w="1519" w:type="dxa"/>
            <w:shd w:val="clear" w:color="000000" w:fill="FFFFFF"/>
            <w:noWrap/>
            <w:vAlign w:val="center"/>
          </w:tcPr>
          <w:p w14:paraId="41B108CA">
            <w:pPr>
              <w:pStyle w:val="48"/>
            </w:pPr>
            <w:r>
              <w:rPr>
                <w:rFonts w:hint="eastAsia"/>
              </w:rPr>
              <w:t>0.71</w:t>
            </w:r>
          </w:p>
        </w:tc>
      </w:tr>
      <w:tr w14:paraId="48E3B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15" w:type="dxa"/>
            <w:shd w:val="clear" w:color="000000" w:fill="FFFFFF"/>
            <w:noWrap/>
            <w:vAlign w:val="center"/>
          </w:tcPr>
          <w:p w14:paraId="3F27A92D">
            <w:pPr>
              <w:pStyle w:val="48"/>
            </w:pPr>
            <w:r>
              <w:rPr>
                <w:rFonts w:hint="eastAsia"/>
              </w:rPr>
              <w:t>H11</w:t>
            </w:r>
          </w:p>
        </w:tc>
        <w:tc>
          <w:tcPr>
            <w:tcW w:w="3206" w:type="dxa"/>
            <w:gridSpan w:val="2"/>
            <w:shd w:val="clear" w:color="000000" w:fill="FFFFFF"/>
            <w:noWrap/>
            <w:vAlign w:val="center"/>
          </w:tcPr>
          <w:p w14:paraId="5D4F392C">
            <w:pPr>
              <w:pStyle w:val="48"/>
            </w:pPr>
            <w:r>
              <w:rPr>
                <w:rFonts w:hint="eastAsia"/>
              </w:rPr>
              <w:t>城市建设用地</w:t>
            </w:r>
          </w:p>
        </w:tc>
        <w:tc>
          <w:tcPr>
            <w:tcW w:w="1812" w:type="dxa"/>
            <w:shd w:val="clear" w:color="000000" w:fill="FFFFFF"/>
            <w:noWrap/>
            <w:vAlign w:val="center"/>
          </w:tcPr>
          <w:p w14:paraId="3CB245E7">
            <w:pPr>
              <w:pStyle w:val="48"/>
            </w:pPr>
            <w:r>
              <w:rPr>
                <w:rFonts w:hint="eastAsia"/>
              </w:rPr>
              <w:t>1045.76</w:t>
            </w:r>
          </w:p>
        </w:tc>
        <w:tc>
          <w:tcPr>
            <w:tcW w:w="1672" w:type="dxa"/>
            <w:shd w:val="clear" w:color="000000" w:fill="FFFFFF"/>
            <w:noWrap/>
            <w:vAlign w:val="center"/>
          </w:tcPr>
          <w:p w14:paraId="2E49095C">
            <w:pPr>
              <w:pStyle w:val="48"/>
            </w:pPr>
            <w:r>
              <w:rPr>
                <w:rFonts w:hint="eastAsia"/>
              </w:rPr>
              <w:t>100.00</w:t>
            </w:r>
          </w:p>
        </w:tc>
        <w:tc>
          <w:tcPr>
            <w:tcW w:w="1519" w:type="dxa"/>
            <w:shd w:val="clear" w:color="000000" w:fill="FFFFFF"/>
            <w:noWrap/>
            <w:vAlign w:val="center"/>
          </w:tcPr>
          <w:p w14:paraId="58064E58">
            <w:pPr>
              <w:pStyle w:val="48"/>
            </w:pPr>
            <w:r>
              <w:rPr>
                <w:rFonts w:hint="eastAsia"/>
              </w:rPr>
              <w:t>105.63</w:t>
            </w:r>
          </w:p>
        </w:tc>
      </w:tr>
    </w:tbl>
    <w:p w14:paraId="5523ED0F">
      <w:pPr>
        <w:pStyle w:val="2"/>
        <w:spacing w:before="0" w:after="0" w:line="580" w:lineRule="exact"/>
        <w:jc w:val="center"/>
        <w:rPr>
          <w:rFonts w:ascii="黑体" w:hAnsi="黑体" w:eastAsia="黑体"/>
          <w:sz w:val="36"/>
          <w:szCs w:val="36"/>
        </w:rPr>
      </w:pPr>
      <w:bookmarkStart w:id="27" w:name="_Toc528317026"/>
      <w:r>
        <w:rPr>
          <w:rFonts w:hint="eastAsia" w:ascii="黑体" w:hAnsi="黑体" w:eastAsia="黑体"/>
          <w:sz w:val="36"/>
          <w:szCs w:val="36"/>
        </w:rPr>
        <w:t>第五章  绿地系统规划</w:t>
      </w:r>
      <w:bookmarkEnd w:id="27"/>
    </w:p>
    <w:p w14:paraId="10743B5E">
      <w:pPr>
        <w:pStyle w:val="47"/>
        <w:spacing w:line="580" w:lineRule="exact"/>
      </w:pPr>
    </w:p>
    <w:p w14:paraId="528F3F26">
      <w:pPr>
        <w:pStyle w:val="38"/>
        <w:numPr>
          <w:ilvl w:val="0"/>
          <w:numId w:val="6"/>
        </w:numPr>
        <w:spacing w:before="0" w:beforeLines="0" w:after="0" w:afterLines="0" w:line="580" w:lineRule="exact"/>
        <w:rPr>
          <w:rFonts w:ascii="黑体" w:hAnsi="黑体"/>
          <w:b/>
        </w:rPr>
      </w:pPr>
      <w:bookmarkStart w:id="28" w:name="_Toc528317027"/>
      <w:r>
        <w:rPr>
          <w:rFonts w:hint="eastAsia" w:ascii="黑体" w:hAnsi="黑体"/>
          <w:b/>
        </w:rPr>
        <w:t>规划原则</w:t>
      </w:r>
      <w:bookmarkEnd w:id="28"/>
    </w:p>
    <w:p w14:paraId="5994A3AA">
      <w:pPr>
        <w:pStyle w:val="39"/>
        <w:spacing w:line="580" w:lineRule="exact"/>
        <w:rPr>
          <w:rFonts w:ascii="宋体" w:hAnsi="宋体" w:eastAsia="宋体"/>
        </w:rPr>
      </w:pPr>
      <w:r>
        <w:rPr>
          <w:rFonts w:hint="eastAsia" w:ascii="宋体" w:hAnsi="宋体" w:eastAsia="宋体"/>
        </w:rPr>
        <w:t>(一)以人为本，充分考虑各种年龄、爱好、文化、消费水平的居民需求，为市民提供便捷、环境优美、设施完备的休憩绿地环境；</w:t>
      </w:r>
    </w:p>
    <w:p w14:paraId="03E92986">
      <w:pPr>
        <w:pStyle w:val="39"/>
        <w:spacing w:line="580" w:lineRule="exact"/>
        <w:rPr>
          <w:rFonts w:ascii="宋体" w:hAnsi="宋体" w:eastAsia="宋体"/>
        </w:rPr>
      </w:pPr>
      <w:r>
        <w:rPr>
          <w:rFonts w:hint="eastAsia" w:ascii="宋体" w:hAnsi="宋体" w:eastAsia="宋体"/>
        </w:rPr>
        <w:t>(二)因地制宜，挖掘用地潜势，充分发挥中心区域现状绿地资源优势，形成特色鲜明的各类公园绿地；</w:t>
      </w:r>
    </w:p>
    <w:p w14:paraId="6171126E">
      <w:pPr>
        <w:pStyle w:val="39"/>
        <w:spacing w:line="580" w:lineRule="exact"/>
        <w:rPr>
          <w:rFonts w:ascii="宋体" w:hAnsi="宋体" w:eastAsia="宋体"/>
        </w:rPr>
      </w:pPr>
      <w:r>
        <w:rPr>
          <w:rFonts w:hint="eastAsia" w:ascii="宋体" w:hAnsi="宋体" w:eastAsia="宋体"/>
        </w:rPr>
        <w:t>(三)充分考虑陵川未来“一心、两轴、四片区”的城市布局结构，绿地均衡发展，均匀布局，结合城市居住用地和公共设施用地布局，相对均衡的布置公园，提高公园绿地的可达性；</w:t>
      </w:r>
    </w:p>
    <w:p w14:paraId="002BADA7">
      <w:pPr>
        <w:pStyle w:val="39"/>
        <w:spacing w:line="580" w:lineRule="exact"/>
        <w:rPr>
          <w:rFonts w:ascii="宋体" w:hAnsi="宋体" w:eastAsia="宋体"/>
        </w:rPr>
      </w:pPr>
      <w:r>
        <w:rPr>
          <w:rFonts w:hint="eastAsia" w:ascii="宋体" w:hAnsi="宋体" w:eastAsia="宋体"/>
        </w:rPr>
        <w:t>(四)文化建绿，挖掘陵川文化资源，塑造地域特有的园林绿地空间，通过公园的建设提升城市文化品位；</w:t>
      </w:r>
    </w:p>
    <w:p w14:paraId="1F83ECD8">
      <w:pPr>
        <w:pStyle w:val="39"/>
        <w:spacing w:line="580" w:lineRule="exact"/>
        <w:rPr>
          <w:rFonts w:ascii="宋体" w:hAnsi="宋体" w:eastAsia="宋体"/>
        </w:rPr>
      </w:pPr>
      <w:r>
        <w:rPr>
          <w:rFonts w:hint="eastAsia" w:ascii="宋体" w:hAnsi="宋体" w:eastAsia="宋体"/>
        </w:rPr>
        <w:t>(五)分级配套，通过不同类型公园的系统配置满足不同的游憩需求。</w:t>
      </w:r>
    </w:p>
    <w:p w14:paraId="63D900D5">
      <w:pPr>
        <w:pStyle w:val="38"/>
        <w:numPr>
          <w:ilvl w:val="0"/>
          <w:numId w:val="6"/>
        </w:numPr>
        <w:spacing w:before="0" w:beforeLines="0" w:after="0" w:afterLines="0" w:line="580" w:lineRule="exact"/>
        <w:rPr>
          <w:rFonts w:ascii="黑体" w:hAnsi="黑体"/>
          <w:b/>
        </w:rPr>
      </w:pPr>
      <w:bookmarkStart w:id="29" w:name="_Toc528317028"/>
      <w:r>
        <w:rPr>
          <w:rFonts w:hint="eastAsia" w:ascii="黑体" w:hAnsi="黑体"/>
          <w:b/>
        </w:rPr>
        <w:t>绿地系统结构</w:t>
      </w:r>
      <w:bookmarkEnd w:id="29"/>
    </w:p>
    <w:p w14:paraId="25108FEB">
      <w:pPr>
        <w:pStyle w:val="39"/>
        <w:spacing w:line="580" w:lineRule="exact"/>
        <w:rPr>
          <w:rFonts w:ascii="宋体" w:hAnsi="宋体" w:eastAsia="宋体"/>
        </w:rPr>
      </w:pPr>
      <w:r>
        <w:rPr>
          <w:rFonts w:hint="eastAsia" w:ascii="宋体" w:hAnsi="宋体" w:eastAsia="宋体"/>
        </w:rPr>
        <w:t>陵川山水生态特征突出，山城相依，形成了“三分青山半城楼”的独特景观。基于城市的自然山水环境和地貌格局，城市依托东西山地生态环境，以现有城市组团蔓延扩展为主，根据发展的需要适当拓展新的城市组团空间，沿南北两侧丘陵平原积极拓展城市新区，使城市扩展和自然资源有了有机的互动，山水自然和陵川城市的关系越来越密切，成为陵川城市发展建设的绿色基础，也能将城市功能、文化氛围与城市景观肌理有机融合。</w:t>
      </w:r>
    </w:p>
    <w:p w14:paraId="3E34AD4D">
      <w:pPr>
        <w:pStyle w:val="5"/>
        <w:spacing w:line="580" w:lineRule="exact"/>
        <w:ind w:firstLine="560"/>
        <w:rPr>
          <w:rFonts w:ascii="宋体" w:hAnsi="宋体"/>
          <w:sz w:val="28"/>
          <w:szCs w:val="28"/>
        </w:rPr>
      </w:pPr>
      <w:r>
        <w:rPr>
          <w:rFonts w:hint="eastAsia" w:ascii="宋体" w:hAnsi="宋体"/>
          <w:sz w:val="28"/>
          <w:szCs w:val="28"/>
        </w:rPr>
        <w:t>深化陵川县县城总体规划相关内容，根据陵川县县城绿地系统规划的总体定位，充分利用陵川目前现有的山水资源，确定陵川县绿地系统形成“一环融绿、四区联动 、多带串联、多点均布”的绿地系统结构。</w:t>
      </w:r>
    </w:p>
    <w:p w14:paraId="43ED9255">
      <w:pPr>
        <w:pStyle w:val="5"/>
        <w:spacing w:line="580" w:lineRule="exact"/>
        <w:ind w:firstLine="560"/>
        <w:rPr>
          <w:rFonts w:ascii="宋体" w:hAnsi="宋体"/>
          <w:sz w:val="28"/>
          <w:szCs w:val="28"/>
        </w:rPr>
      </w:pPr>
      <w:r>
        <w:rPr>
          <w:rFonts w:hint="eastAsia" w:ascii="宋体" w:hAnsi="宋体"/>
          <w:sz w:val="28"/>
          <w:szCs w:val="28"/>
        </w:rPr>
        <w:t>“一环”由中心城区周边连绵的山体形成，主要由西溪生态公园、菊巘山森林公园、卧龙岗生态园等中心城区周边生态涵养区及其间的过渡地段组成。其作用在于作为城市的绿色背景，保护、控制和改善城市生态质量环境，完善城市周边近郊休闲活动场所。</w:t>
      </w:r>
    </w:p>
    <w:p w14:paraId="193F734E">
      <w:pPr>
        <w:pStyle w:val="39"/>
        <w:spacing w:line="580" w:lineRule="exact"/>
        <w:rPr>
          <w:rFonts w:ascii="宋体" w:hAnsi="宋体" w:eastAsia="宋体"/>
        </w:rPr>
      </w:pPr>
      <w:r>
        <w:rPr>
          <w:rFonts w:hint="eastAsia" w:ascii="宋体" w:hAnsi="宋体" w:eastAsia="宋体"/>
        </w:rPr>
        <w:t>“四区”强调中心城区与四个城市组团的绿地建设均衡发展、彼此各具特色而又相互协调联系。</w:t>
      </w:r>
    </w:p>
    <w:p w14:paraId="19069E94">
      <w:pPr>
        <w:pStyle w:val="39"/>
        <w:spacing w:line="580" w:lineRule="exact"/>
        <w:rPr>
          <w:rFonts w:ascii="宋体" w:hAnsi="宋体" w:eastAsia="宋体"/>
        </w:rPr>
      </w:pPr>
      <w:r>
        <w:rPr>
          <w:rFonts w:hint="eastAsia" w:ascii="宋体" w:hAnsi="宋体" w:eastAsia="宋体"/>
        </w:rPr>
        <w:t>“多带”由红河、羊河等城市水系组成的自然条带和由纵贯北路、望川街、育才街、陵沁一级公路路、棋山路、状元路等主干道构建的城市景观主条带；它们共同构成城市绿色条带体系，沟通城区与山水自然环境，构成陵川城市的绿色网络格局。对于优化城市空间，保护城区生态环境，丰富绿地的形式和内容具有不容忽视的作用。</w:t>
      </w:r>
    </w:p>
    <w:p w14:paraId="4B920349">
      <w:pPr>
        <w:pStyle w:val="39"/>
        <w:spacing w:line="580" w:lineRule="exact"/>
        <w:rPr>
          <w:rFonts w:ascii="宋体" w:hAnsi="宋体" w:eastAsia="宋体"/>
        </w:rPr>
      </w:pPr>
      <w:r>
        <w:rPr>
          <w:rFonts w:hint="eastAsia" w:ascii="宋体" w:hAnsi="宋体" w:eastAsia="宋体"/>
        </w:rPr>
        <w:t>“多点”由包括崇安山地公园、南岭公园、崇安寺公园等在内的城市主要公园和城市建设用地以外的西溪生态公园、菊巘山森林公园、卧龙岗生态园等其他绿地组成。它们提供了陵川居民日常游憩活动的场所，同时也是城市生态系统重要组成部分。陵川中心城区内部的众多的社区公园、专类公园、街旁绿地等各类型的绿地丰富了陵川中心城区绿地系统的结构和内容，也是绿地这一生命绿色基础设施分级配套的基础支撑。</w:t>
      </w:r>
    </w:p>
    <w:p w14:paraId="54398BF5">
      <w:pPr>
        <w:pStyle w:val="38"/>
        <w:numPr>
          <w:ilvl w:val="0"/>
          <w:numId w:val="6"/>
        </w:numPr>
        <w:spacing w:before="0" w:beforeLines="0" w:after="0" w:afterLines="0" w:line="580" w:lineRule="exact"/>
        <w:rPr>
          <w:rFonts w:ascii="黑体" w:hAnsi="黑体"/>
          <w:b/>
        </w:rPr>
      </w:pPr>
      <w:bookmarkStart w:id="30" w:name="_Toc528317029"/>
      <w:r>
        <w:rPr>
          <w:rFonts w:hint="eastAsia" w:ascii="黑体" w:hAnsi="黑体"/>
          <w:b/>
        </w:rPr>
        <w:t>用地布局</w:t>
      </w:r>
      <w:bookmarkEnd w:id="30"/>
    </w:p>
    <w:p w14:paraId="6156DFEB">
      <w:pPr>
        <w:pStyle w:val="39"/>
        <w:spacing w:line="580" w:lineRule="exact"/>
        <w:rPr>
          <w:rFonts w:ascii="宋体" w:hAnsi="宋体" w:eastAsia="宋体"/>
        </w:rPr>
      </w:pPr>
      <w:r>
        <w:rPr>
          <w:rFonts w:hint="eastAsia" w:ascii="宋体" w:hAnsi="宋体" w:eastAsia="宋体"/>
        </w:rPr>
        <w:t>城区绿地与广场占地面积为199.10公顷，占总建设用地面积的19.08%。其中包括公园绿地、广场用地和防护绿地三类。</w:t>
      </w:r>
    </w:p>
    <w:p w14:paraId="04987E43">
      <w:pPr>
        <w:pStyle w:val="39"/>
        <w:spacing w:line="580" w:lineRule="exact"/>
        <w:rPr>
          <w:rFonts w:ascii="宋体" w:hAnsi="宋体" w:eastAsia="宋体"/>
        </w:rPr>
      </w:pPr>
      <w:r>
        <w:rPr>
          <w:rFonts w:hint="eastAsia" w:ascii="宋体" w:hAnsi="宋体" w:eastAsia="宋体"/>
        </w:rPr>
        <w:t>(一)公园绿地</w:t>
      </w:r>
    </w:p>
    <w:p w14:paraId="2E987EC8">
      <w:pPr>
        <w:pStyle w:val="5"/>
        <w:spacing w:line="580" w:lineRule="exact"/>
        <w:ind w:firstLine="560"/>
        <w:rPr>
          <w:rFonts w:ascii="宋体" w:hAnsi="宋体"/>
          <w:sz w:val="28"/>
          <w:szCs w:val="28"/>
        </w:rPr>
      </w:pPr>
      <w:r>
        <w:rPr>
          <w:rFonts w:hint="eastAsia" w:ascii="宋体" w:hAnsi="宋体"/>
          <w:sz w:val="28"/>
          <w:szCs w:val="28"/>
        </w:rPr>
        <w:t>1、城北社区公园</w:t>
      </w:r>
    </w:p>
    <w:p w14:paraId="531EC45D">
      <w:pPr>
        <w:pStyle w:val="5"/>
        <w:spacing w:line="580" w:lineRule="exact"/>
        <w:ind w:firstLine="560"/>
        <w:rPr>
          <w:rFonts w:ascii="宋体" w:hAnsi="宋体"/>
          <w:sz w:val="28"/>
          <w:szCs w:val="28"/>
        </w:rPr>
      </w:pPr>
      <w:r>
        <w:rPr>
          <w:rFonts w:hint="eastAsia" w:ascii="宋体" w:hAnsi="宋体"/>
          <w:sz w:val="28"/>
          <w:szCs w:val="28"/>
        </w:rPr>
        <w:t>社区公园，面积为0.39公顷，位于老城文化组团，康复路与复元路交叉口东南侧。公园服务于城北社区。结合山地增加特色儿童活动场，结合林地创造宜居的优美环境，给居民营造多功能的休闲、娱乐、交流的场所。</w:t>
      </w:r>
    </w:p>
    <w:p w14:paraId="13050A68">
      <w:pPr>
        <w:pStyle w:val="5"/>
        <w:spacing w:line="580" w:lineRule="exact"/>
        <w:ind w:firstLine="560"/>
        <w:rPr>
          <w:rFonts w:ascii="宋体" w:hAnsi="宋体"/>
          <w:sz w:val="28"/>
          <w:szCs w:val="28"/>
        </w:rPr>
      </w:pPr>
      <w:r>
        <w:rPr>
          <w:rFonts w:hint="eastAsia" w:ascii="宋体" w:hAnsi="宋体"/>
          <w:sz w:val="28"/>
          <w:szCs w:val="28"/>
        </w:rPr>
        <w:t>2、崇安寺公园</w:t>
      </w:r>
    </w:p>
    <w:p w14:paraId="275E96F8">
      <w:pPr>
        <w:pStyle w:val="5"/>
        <w:spacing w:line="580" w:lineRule="exact"/>
        <w:ind w:firstLine="560"/>
        <w:rPr>
          <w:rFonts w:ascii="宋体" w:hAnsi="宋体"/>
          <w:sz w:val="28"/>
          <w:szCs w:val="28"/>
        </w:rPr>
      </w:pPr>
      <w:r>
        <w:rPr>
          <w:rFonts w:hint="eastAsia" w:ascii="宋体" w:hAnsi="宋体"/>
          <w:sz w:val="28"/>
          <w:szCs w:val="28"/>
        </w:rPr>
        <w:t>专类公园，面积为2.72公顷，位于老城文化组团，纵贯北路东侧。公园以崇安寺历史文化为特色。充分尊重崇安寺的历史风貌，在现有卧龙岗公园的基础上，合理规划游览路径，增加集散空间，丰富种植层次，完善基础设施，丰富文化景观的表现手法。</w:t>
      </w:r>
    </w:p>
    <w:p w14:paraId="5D077818">
      <w:pPr>
        <w:pStyle w:val="5"/>
        <w:spacing w:line="580" w:lineRule="exact"/>
        <w:ind w:firstLine="560"/>
        <w:rPr>
          <w:rFonts w:ascii="宋体" w:hAnsi="宋体"/>
          <w:sz w:val="28"/>
          <w:szCs w:val="28"/>
        </w:rPr>
      </w:pPr>
      <w:r>
        <w:rPr>
          <w:rFonts w:hint="eastAsia" w:ascii="宋体" w:hAnsi="宋体"/>
          <w:sz w:val="28"/>
          <w:szCs w:val="28"/>
        </w:rPr>
        <w:t>3、春秋阁公园</w:t>
      </w:r>
    </w:p>
    <w:p w14:paraId="260AAAE0">
      <w:pPr>
        <w:pStyle w:val="5"/>
        <w:spacing w:line="580" w:lineRule="exact"/>
        <w:ind w:firstLine="560"/>
        <w:rPr>
          <w:rFonts w:ascii="宋体" w:hAnsi="宋体"/>
          <w:sz w:val="28"/>
          <w:szCs w:val="28"/>
        </w:rPr>
      </w:pPr>
      <w:r>
        <w:rPr>
          <w:rFonts w:hint="eastAsia" w:ascii="宋体" w:hAnsi="宋体"/>
          <w:sz w:val="28"/>
          <w:szCs w:val="28"/>
        </w:rPr>
        <w:t>专类公园，面积为0.47公顷，位于老城文化组团，梅园东街与紫云街交界处。公园以陵川一级保护文物春秋阁为特色，是集休闲娱乐、文化教育、游览观赏于一体。在现有春秋阁的基础上对文物建筑进行修复，增加传统风格的基础设施，增种乡土植物打造地域特色，并为市民提供户外休闲空间。</w:t>
      </w:r>
    </w:p>
    <w:p w14:paraId="5157CED9">
      <w:pPr>
        <w:pStyle w:val="5"/>
        <w:spacing w:line="580" w:lineRule="exact"/>
        <w:ind w:firstLine="560"/>
        <w:rPr>
          <w:rFonts w:ascii="宋体" w:hAnsi="宋体"/>
          <w:sz w:val="28"/>
          <w:szCs w:val="28"/>
        </w:rPr>
      </w:pPr>
      <w:r>
        <w:rPr>
          <w:rFonts w:hint="eastAsia" w:ascii="宋体" w:hAnsi="宋体"/>
          <w:sz w:val="28"/>
          <w:szCs w:val="28"/>
        </w:rPr>
        <w:t>4、棋山公园</w:t>
      </w:r>
    </w:p>
    <w:p w14:paraId="33244F30">
      <w:pPr>
        <w:pStyle w:val="5"/>
        <w:spacing w:line="580" w:lineRule="exact"/>
        <w:ind w:firstLine="560"/>
        <w:rPr>
          <w:rFonts w:ascii="宋体" w:hAnsi="宋体"/>
          <w:sz w:val="28"/>
          <w:szCs w:val="28"/>
        </w:rPr>
      </w:pPr>
      <w:r>
        <w:rPr>
          <w:rFonts w:hint="eastAsia" w:ascii="宋体" w:hAnsi="宋体"/>
          <w:sz w:val="28"/>
          <w:szCs w:val="28"/>
        </w:rPr>
        <w:t>区域性综合公园，面积为11.54公顷，位于乡愁宜居组团，棋山路西侧。公园以棋文化为特色，集休闲娱乐、健身锻炼、游览观赏于一体，主要服务于城北居住片区与东关居住片区居民。陵川是有权威认证的世界围棋起源地，其有独特的酷似围棋棋子由黑、白、黄三色卵石构成的地表，棋山公园将延续这种特色景观地貌，打造陵川围棋文化风貌，并为市民提供便利的休闲娱乐及文化交流场所。</w:t>
      </w:r>
    </w:p>
    <w:p w14:paraId="3205322C">
      <w:pPr>
        <w:pStyle w:val="5"/>
        <w:spacing w:line="580" w:lineRule="exact"/>
        <w:ind w:firstLine="560"/>
        <w:rPr>
          <w:rFonts w:ascii="宋体" w:hAnsi="宋体"/>
          <w:sz w:val="28"/>
          <w:szCs w:val="28"/>
        </w:rPr>
      </w:pPr>
      <w:r>
        <w:rPr>
          <w:rFonts w:hint="eastAsia" w:ascii="宋体" w:hAnsi="宋体"/>
          <w:sz w:val="28"/>
          <w:szCs w:val="28"/>
        </w:rPr>
        <w:t>5、红河生态公园</w:t>
      </w:r>
    </w:p>
    <w:p w14:paraId="511BA826">
      <w:pPr>
        <w:pStyle w:val="5"/>
        <w:spacing w:line="580" w:lineRule="exact"/>
        <w:ind w:firstLine="560"/>
        <w:rPr>
          <w:rFonts w:ascii="宋体" w:hAnsi="宋体"/>
          <w:sz w:val="28"/>
          <w:szCs w:val="28"/>
        </w:rPr>
      </w:pPr>
      <w:r>
        <w:rPr>
          <w:rFonts w:hint="eastAsia" w:ascii="宋体" w:hAnsi="宋体"/>
          <w:sz w:val="28"/>
          <w:szCs w:val="28"/>
        </w:rPr>
        <w:t>带状公园，面积为10.49公顷，位于临水生态组团，沿状元路南北向分布。公园以红河滨河水生境的营造为主题，集滨水游憩、科普认知、生态教育、运动健身为一体的带状公园。创造宜居的优美环境，通过滨水活动场地的建设，水生植物的营造，为市民提供水特色的活动场所。</w:t>
      </w:r>
    </w:p>
    <w:p w14:paraId="0B96F547">
      <w:pPr>
        <w:pStyle w:val="5"/>
        <w:spacing w:line="580" w:lineRule="exact"/>
        <w:ind w:firstLine="560"/>
        <w:rPr>
          <w:rFonts w:ascii="宋体" w:hAnsi="宋体"/>
          <w:sz w:val="28"/>
          <w:szCs w:val="28"/>
        </w:rPr>
      </w:pPr>
      <w:r>
        <w:rPr>
          <w:rFonts w:hint="eastAsia" w:ascii="宋体" w:hAnsi="宋体"/>
          <w:sz w:val="28"/>
          <w:szCs w:val="28"/>
        </w:rPr>
        <w:t>6、北川社区花园</w:t>
      </w:r>
    </w:p>
    <w:p w14:paraId="0EB745CD">
      <w:pPr>
        <w:pStyle w:val="5"/>
        <w:spacing w:line="580" w:lineRule="exact"/>
        <w:ind w:firstLine="560"/>
        <w:rPr>
          <w:rFonts w:ascii="宋体" w:hAnsi="宋体"/>
          <w:sz w:val="28"/>
          <w:szCs w:val="28"/>
        </w:rPr>
      </w:pPr>
      <w:r>
        <w:rPr>
          <w:rFonts w:hint="eastAsia" w:ascii="宋体" w:hAnsi="宋体"/>
          <w:sz w:val="28"/>
          <w:szCs w:val="28"/>
        </w:rPr>
        <w:t>社区公园，面积为2.01公顷，位于乡愁宜居组团，锦屏街与北玄街交叉口的东南侧。花园服务于城北居住片区。结合山地增加特色儿童活动场，结合林地创造宜居的优美环境，给居民营造多功能的休闲、娱乐、交流的场所。</w:t>
      </w:r>
    </w:p>
    <w:p w14:paraId="28071BD2">
      <w:pPr>
        <w:pStyle w:val="47"/>
        <w:spacing w:line="580" w:lineRule="exact"/>
      </w:pPr>
      <w:r>
        <w:rPr>
          <w:rFonts w:hint="eastAsia"/>
        </w:rPr>
        <w:t>7、秦略花园</w:t>
      </w:r>
    </w:p>
    <w:p w14:paraId="2B802421">
      <w:pPr>
        <w:pStyle w:val="5"/>
        <w:spacing w:line="580" w:lineRule="exact"/>
        <w:ind w:firstLine="560"/>
        <w:rPr>
          <w:rFonts w:ascii="宋体" w:hAnsi="宋体"/>
          <w:sz w:val="28"/>
          <w:szCs w:val="28"/>
        </w:rPr>
      </w:pPr>
      <w:r>
        <w:rPr>
          <w:rFonts w:hint="eastAsia" w:ascii="宋体" w:hAnsi="宋体"/>
          <w:sz w:val="28"/>
          <w:szCs w:val="28"/>
        </w:rPr>
        <w:t>街旁绿地，面积为1.22公顷，位于望川休闲组团，纵贯北路北端。公园纪念陵川著名诗人秦略，展现陵川的文化，为居民提供休闲交流、文化展示的场所。增加硬质场地纳入多样化功能，布设互动的小品寓教于乐。</w:t>
      </w:r>
    </w:p>
    <w:p w14:paraId="546A726E">
      <w:pPr>
        <w:pStyle w:val="5"/>
        <w:spacing w:line="580" w:lineRule="exact"/>
        <w:ind w:firstLine="560"/>
        <w:rPr>
          <w:rFonts w:ascii="宋体" w:hAnsi="宋体"/>
          <w:sz w:val="28"/>
          <w:szCs w:val="28"/>
        </w:rPr>
      </w:pPr>
      <w:r>
        <w:rPr>
          <w:rFonts w:hint="eastAsia" w:ascii="宋体" w:hAnsi="宋体"/>
          <w:sz w:val="28"/>
          <w:szCs w:val="28"/>
        </w:rPr>
        <w:t>8、九公山公园</w:t>
      </w:r>
    </w:p>
    <w:p w14:paraId="655348B7">
      <w:pPr>
        <w:pStyle w:val="5"/>
        <w:spacing w:line="580" w:lineRule="exact"/>
        <w:ind w:firstLine="560"/>
        <w:rPr>
          <w:rFonts w:ascii="宋体" w:hAnsi="宋体"/>
          <w:sz w:val="28"/>
          <w:szCs w:val="28"/>
        </w:rPr>
      </w:pPr>
      <w:r>
        <w:rPr>
          <w:rFonts w:hint="eastAsia" w:ascii="宋体" w:hAnsi="宋体"/>
          <w:sz w:val="28"/>
          <w:szCs w:val="28"/>
        </w:rPr>
        <w:t>区域性综合公园，面积为11.54公顷，位于望山休闲组团，陵沁一级公路东侧。公园主要服务于陵川县城西北部居民。公园一期注重基础设施的建设，为居民提供便利的活动场所；二期重视绿地功能性的完善，让居民可以较好地使用公园、亲近自然；三期在满足居民休闲娱乐、健身锻炼的同时，加强公园主题特色的建设。植物景观方面在现有针叶林区的基础上，增加灌草层次与季相景观，多选用乡土树种，增加公园的特色景观风貌。</w:t>
      </w:r>
    </w:p>
    <w:p w14:paraId="2FD06007">
      <w:pPr>
        <w:pStyle w:val="5"/>
        <w:spacing w:line="580" w:lineRule="exact"/>
        <w:ind w:firstLine="560"/>
        <w:rPr>
          <w:rFonts w:ascii="宋体" w:hAnsi="宋体"/>
          <w:sz w:val="28"/>
          <w:szCs w:val="28"/>
        </w:rPr>
      </w:pPr>
      <w:r>
        <w:rPr>
          <w:rFonts w:hint="eastAsia" w:ascii="宋体" w:hAnsi="宋体"/>
          <w:sz w:val="28"/>
          <w:szCs w:val="28"/>
        </w:rPr>
        <w:t>9、崇安山地公园</w:t>
      </w:r>
    </w:p>
    <w:p w14:paraId="1E8270FC">
      <w:pPr>
        <w:pStyle w:val="5"/>
        <w:spacing w:line="580" w:lineRule="exact"/>
        <w:ind w:firstLine="560"/>
        <w:rPr>
          <w:rFonts w:ascii="宋体" w:hAnsi="宋体"/>
          <w:sz w:val="28"/>
          <w:szCs w:val="28"/>
        </w:rPr>
      </w:pPr>
      <w:r>
        <w:rPr>
          <w:rFonts w:hint="eastAsia" w:ascii="宋体" w:hAnsi="宋体"/>
          <w:sz w:val="28"/>
          <w:szCs w:val="28"/>
        </w:rPr>
        <w:t>区域性综合公园，面积为4.95公顷，位于望山休闲组团，陵沁一级公路东侧。公园在满足全县尤其是老城附近居民的游憩、休闲、文娱、科教等需求的同时，大力建设山地步道、山间索道、山顶观景台等山地游憩设施，并保留现有景观条件良好的植被，创造陵川特色性山地景观风貌，展现陵川太行山水的生态基底与金元古建的文化底蕴。</w:t>
      </w:r>
    </w:p>
    <w:p w14:paraId="3B2DD9BA">
      <w:pPr>
        <w:pStyle w:val="5"/>
        <w:spacing w:line="580" w:lineRule="exact"/>
        <w:ind w:firstLine="560"/>
        <w:rPr>
          <w:rFonts w:ascii="宋体" w:hAnsi="宋体"/>
          <w:sz w:val="28"/>
          <w:szCs w:val="28"/>
        </w:rPr>
      </w:pPr>
      <w:r>
        <w:rPr>
          <w:rFonts w:hint="eastAsia" w:ascii="宋体" w:hAnsi="宋体"/>
          <w:sz w:val="28"/>
          <w:szCs w:val="28"/>
        </w:rPr>
        <w:t>10、白陉公园</w:t>
      </w:r>
    </w:p>
    <w:p w14:paraId="1C242183">
      <w:pPr>
        <w:pStyle w:val="5"/>
        <w:spacing w:line="580" w:lineRule="exact"/>
        <w:ind w:firstLine="560"/>
        <w:rPr>
          <w:rFonts w:ascii="宋体" w:hAnsi="宋体"/>
          <w:sz w:val="28"/>
          <w:szCs w:val="28"/>
        </w:rPr>
      </w:pPr>
      <w:r>
        <w:rPr>
          <w:rFonts w:hint="eastAsia" w:ascii="宋体" w:hAnsi="宋体"/>
          <w:sz w:val="28"/>
          <w:szCs w:val="28"/>
        </w:rPr>
        <w:t>专类公园，面积为1.61公顷，位于望山休闲组团，陵沁一级公路东侧。公园以太行八陉中经过陵川的白陉为特色，是集文化教育、历史科普、休闲游憩、生态保护于一体的专类公园。通过历史人物雕像、白陉古道设施的复原表现南太行文化，配置乡土植物打造地域特色，并为市民提供户外休闲空间。</w:t>
      </w:r>
    </w:p>
    <w:p w14:paraId="319558B2">
      <w:pPr>
        <w:pStyle w:val="5"/>
        <w:spacing w:line="580" w:lineRule="exact"/>
        <w:ind w:firstLine="560"/>
        <w:rPr>
          <w:rFonts w:ascii="宋体" w:hAnsi="宋体"/>
          <w:sz w:val="28"/>
          <w:szCs w:val="28"/>
        </w:rPr>
      </w:pPr>
      <w:r>
        <w:rPr>
          <w:rFonts w:hint="eastAsia" w:ascii="宋体" w:hAnsi="宋体"/>
          <w:sz w:val="28"/>
          <w:szCs w:val="28"/>
        </w:rPr>
        <w:t>11、郝经公园</w:t>
      </w:r>
    </w:p>
    <w:p w14:paraId="6968F310">
      <w:pPr>
        <w:pStyle w:val="5"/>
        <w:spacing w:line="580" w:lineRule="exact"/>
        <w:ind w:firstLine="560"/>
        <w:rPr>
          <w:rFonts w:ascii="宋体" w:hAnsi="宋体"/>
          <w:sz w:val="28"/>
          <w:szCs w:val="28"/>
        </w:rPr>
      </w:pPr>
      <w:r>
        <w:rPr>
          <w:rFonts w:hint="eastAsia" w:ascii="宋体" w:hAnsi="宋体"/>
          <w:sz w:val="28"/>
          <w:szCs w:val="28"/>
        </w:rPr>
        <w:t>街旁绿地，面积为7.89公顷，郝经公园以陵川历史名人郝经为主题，是集休闲娱乐、健身锻炼、游览观赏于一体的多功能综合公园，主要服务于西关居住片区居民。在现有基础设施的基础上，改善空间划分，设置可停留的小场地供民众休闲、集会活动。增加落叶植物，增加景观丰富度。</w:t>
      </w:r>
    </w:p>
    <w:p w14:paraId="58F4D484">
      <w:pPr>
        <w:pStyle w:val="5"/>
        <w:spacing w:line="580" w:lineRule="exact"/>
        <w:ind w:firstLine="560"/>
        <w:rPr>
          <w:rFonts w:ascii="宋体" w:hAnsi="宋体"/>
          <w:sz w:val="28"/>
          <w:szCs w:val="28"/>
        </w:rPr>
      </w:pPr>
      <w:r>
        <w:rPr>
          <w:rFonts w:hint="eastAsia" w:ascii="宋体" w:hAnsi="宋体"/>
          <w:sz w:val="28"/>
          <w:szCs w:val="28"/>
        </w:rPr>
        <w:t>12、沙上头公园</w:t>
      </w:r>
    </w:p>
    <w:p w14:paraId="59613D97">
      <w:pPr>
        <w:pStyle w:val="5"/>
        <w:spacing w:line="580" w:lineRule="exact"/>
        <w:ind w:firstLine="560"/>
        <w:rPr>
          <w:rFonts w:ascii="宋体" w:hAnsi="宋体"/>
          <w:sz w:val="28"/>
          <w:szCs w:val="28"/>
        </w:rPr>
      </w:pPr>
      <w:r>
        <w:rPr>
          <w:rFonts w:hint="eastAsia" w:ascii="宋体" w:hAnsi="宋体"/>
          <w:sz w:val="28"/>
          <w:szCs w:val="28"/>
        </w:rPr>
        <w:t>街旁绿地，面积为8.86公顷，沙上头公园是集休闲、文化功能为一体的区域性综合公园，主要服务于沙上头村附近居民。在形成城市景观风貌方面，沙上头公园作为菊巘山的余脉向城市延伸并成为菊巘山生态的补充。功能上充分置入场地和设施，满足各年龄段居民进行各类游赏活动。</w:t>
      </w:r>
    </w:p>
    <w:p w14:paraId="3078DD0D">
      <w:pPr>
        <w:pStyle w:val="5"/>
        <w:spacing w:line="580" w:lineRule="exact"/>
        <w:ind w:firstLine="560"/>
        <w:rPr>
          <w:rFonts w:ascii="宋体" w:hAnsi="宋体"/>
          <w:sz w:val="28"/>
          <w:szCs w:val="28"/>
        </w:rPr>
      </w:pPr>
      <w:r>
        <w:rPr>
          <w:rFonts w:hint="eastAsia" w:ascii="宋体" w:hAnsi="宋体"/>
          <w:sz w:val="28"/>
          <w:szCs w:val="28"/>
        </w:rPr>
        <w:t>13、南岭公园</w:t>
      </w:r>
    </w:p>
    <w:p w14:paraId="6FB63072">
      <w:pPr>
        <w:pStyle w:val="5"/>
        <w:spacing w:line="580" w:lineRule="exact"/>
        <w:ind w:firstLine="560"/>
        <w:rPr>
          <w:rFonts w:ascii="宋体" w:hAnsi="宋体"/>
          <w:sz w:val="28"/>
          <w:szCs w:val="28"/>
        </w:rPr>
      </w:pPr>
      <w:r>
        <w:rPr>
          <w:rFonts w:hint="eastAsia" w:ascii="宋体" w:hAnsi="宋体"/>
          <w:sz w:val="28"/>
          <w:szCs w:val="28"/>
        </w:rPr>
        <w:t>综合公园，面积为4.95公顷，南岭公园位于县城南岭上，该局部地块位于南岭路旧水塔北侧。植物景观具有一定规模的绿化基础，现状植物以圆柏白皮松为主，植物配置考虑到了季相景观，但缺少花灌木增加丰富度。种植层次感有待提升、植物缺少空间围合。功能上公园的基础设施不完善，有待提升。</w:t>
      </w:r>
    </w:p>
    <w:p w14:paraId="631F20D3">
      <w:pPr>
        <w:pStyle w:val="5"/>
        <w:spacing w:line="580" w:lineRule="exact"/>
        <w:ind w:firstLine="560"/>
        <w:rPr>
          <w:rFonts w:ascii="宋体" w:hAnsi="宋体"/>
          <w:sz w:val="28"/>
          <w:szCs w:val="28"/>
        </w:rPr>
      </w:pPr>
      <w:r>
        <w:rPr>
          <w:rFonts w:hint="eastAsia" w:ascii="宋体" w:hAnsi="宋体"/>
          <w:sz w:val="28"/>
          <w:szCs w:val="28"/>
        </w:rPr>
        <w:t>14、烈士陵园</w:t>
      </w:r>
    </w:p>
    <w:p w14:paraId="2E2F1643">
      <w:pPr>
        <w:pStyle w:val="5"/>
        <w:spacing w:line="580" w:lineRule="exact"/>
        <w:ind w:firstLine="560"/>
        <w:rPr>
          <w:rFonts w:ascii="宋体" w:hAnsi="宋体"/>
          <w:sz w:val="28"/>
          <w:szCs w:val="28"/>
        </w:rPr>
      </w:pPr>
      <w:r>
        <w:rPr>
          <w:rFonts w:hint="eastAsia" w:ascii="宋体" w:hAnsi="宋体"/>
          <w:sz w:val="28"/>
          <w:szCs w:val="28"/>
        </w:rPr>
        <w:t>烈士陵园是现状的唯一一处专类公园，总面积为5.04公顷，它位于城东郊一个小山岗上。烈士陵园是获得解放的陵川人民，为了纪念在抗日战争中为国为民壮烈牺牲的革命先知而自动募款修建起来的。</w:t>
      </w:r>
    </w:p>
    <w:p w14:paraId="2226ED50">
      <w:pPr>
        <w:pStyle w:val="5"/>
        <w:spacing w:line="580" w:lineRule="exact"/>
        <w:ind w:firstLine="560"/>
        <w:rPr>
          <w:rFonts w:ascii="宋体" w:hAnsi="宋体"/>
          <w:sz w:val="28"/>
          <w:szCs w:val="28"/>
        </w:rPr>
      </w:pPr>
      <w:r>
        <w:rPr>
          <w:rFonts w:hint="eastAsia" w:ascii="宋体" w:hAnsi="宋体"/>
          <w:sz w:val="28"/>
          <w:szCs w:val="28"/>
        </w:rPr>
        <w:t>15、弈苑公园</w:t>
      </w:r>
    </w:p>
    <w:p w14:paraId="3629AC6B">
      <w:pPr>
        <w:pStyle w:val="5"/>
        <w:spacing w:line="580" w:lineRule="exact"/>
        <w:ind w:firstLine="560"/>
        <w:rPr>
          <w:rFonts w:ascii="宋体" w:hAnsi="宋体"/>
          <w:sz w:val="28"/>
          <w:szCs w:val="28"/>
        </w:rPr>
      </w:pPr>
      <w:r>
        <w:rPr>
          <w:rFonts w:hint="eastAsia" w:ascii="宋体" w:hAnsi="宋体"/>
          <w:sz w:val="28"/>
          <w:szCs w:val="28"/>
        </w:rPr>
        <w:t>弈苑公园位于县城中心，1998年建成投入使用，总占地0.58公顷。该公园的功能以消夏避暑、散步健身、休闲娱乐为主。弈苑公园的硬质景观以硬化道路，一侧的长廊以及四周的步道为主。公园还安装了大型程控音乐喷泉、设置了景观灯、摆放了景观石增加趣味。公园场地组织基本合理，使用率高，但是设施相对陈旧，养护水平较低。硬质景观有一定的建设基础，但还缺少主次空间的划分以及大型的空间。</w:t>
      </w:r>
    </w:p>
    <w:p w14:paraId="726AE8B8">
      <w:pPr>
        <w:pStyle w:val="47"/>
        <w:spacing w:line="580" w:lineRule="exact"/>
      </w:pPr>
      <w:r>
        <w:rPr>
          <w:rFonts w:hint="eastAsia"/>
        </w:rPr>
        <w:t>(二)广场</w:t>
      </w:r>
    </w:p>
    <w:p w14:paraId="3A611707">
      <w:pPr>
        <w:pStyle w:val="5"/>
        <w:spacing w:line="580" w:lineRule="exact"/>
        <w:ind w:firstLine="560"/>
        <w:rPr>
          <w:rFonts w:ascii="宋体" w:hAnsi="宋体"/>
          <w:sz w:val="28"/>
          <w:szCs w:val="28"/>
        </w:rPr>
      </w:pPr>
      <w:r>
        <w:rPr>
          <w:rFonts w:hint="eastAsia" w:ascii="宋体" w:hAnsi="宋体"/>
          <w:sz w:val="28"/>
          <w:szCs w:val="28"/>
        </w:rPr>
        <w:t>1、棋源广场</w:t>
      </w:r>
    </w:p>
    <w:p w14:paraId="2B990CFA">
      <w:pPr>
        <w:pStyle w:val="5"/>
        <w:spacing w:line="580" w:lineRule="exact"/>
        <w:ind w:firstLine="560"/>
        <w:rPr>
          <w:rFonts w:ascii="宋体" w:hAnsi="宋体"/>
          <w:sz w:val="28"/>
          <w:szCs w:val="28"/>
        </w:rPr>
      </w:pPr>
      <w:r>
        <w:rPr>
          <w:rFonts w:hint="eastAsia" w:ascii="宋体" w:hAnsi="宋体"/>
          <w:sz w:val="28"/>
          <w:szCs w:val="28"/>
        </w:rPr>
        <w:t>位于老城文化组团，梅园东街东侧，面积为2.35公顷，。公园以陵川的围棋文化为主题。保留现有良好的植物基地和基础设施，增加围棋文化特色的景观廊道和小品，设置包括围棋、球类运动在内的多种活动、交流场地，并搭配相适宜的植物景观。</w:t>
      </w:r>
    </w:p>
    <w:p w14:paraId="69E7B0A2">
      <w:pPr>
        <w:pStyle w:val="5"/>
        <w:spacing w:line="580" w:lineRule="exact"/>
        <w:ind w:firstLine="560"/>
        <w:rPr>
          <w:rFonts w:ascii="宋体" w:hAnsi="宋体"/>
          <w:sz w:val="28"/>
          <w:szCs w:val="28"/>
        </w:rPr>
      </w:pPr>
      <w:r>
        <w:rPr>
          <w:rFonts w:hint="eastAsia" w:ascii="宋体" w:hAnsi="宋体"/>
          <w:sz w:val="28"/>
          <w:szCs w:val="28"/>
        </w:rPr>
        <w:t>2、魁星楼公园</w:t>
      </w:r>
    </w:p>
    <w:p w14:paraId="437075E0">
      <w:pPr>
        <w:pStyle w:val="5"/>
        <w:spacing w:line="580" w:lineRule="exact"/>
        <w:ind w:firstLine="560"/>
        <w:rPr>
          <w:rFonts w:ascii="宋体" w:hAnsi="宋体"/>
          <w:sz w:val="28"/>
          <w:szCs w:val="28"/>
        </w:rPr>
      </w:pPr>
      <w:r>
        <w:rPr>
          <w:rFonts w:hint="eastAsia" w:ascii="宋体" w:hAnsi="宋体"/>
          <w:sz w:val="28"/>
          <w:szCs w:val="28"/>
        </w:rPr>
        <w:t>专类公园，面积为0.46公顷，位于老城文化组团，紫云街东侧。公园以魁星楼历史文化为特色。以魁星楼为中心，增加具有象征含义的设施和小品，展示陵川的状元文化，提供休闲交流、科普展示的场地，塑造城市历史文化景观。</w:t>
      </w:r>
    </w:p>
    <w:p w14:paraId="34C7DC40">
      <w:pPr>
        <w:pStyle w:val="39"/>
        <w:spacing w:line="580" w:lineRule="exact"/>
        <w:rPr>
          <w:rFonts w:ascii="宋体" w:hAnsi="宋体" w:eastAsia="宋体"/>
        </w:rPr>
      </w:pPr>
      <w:r>
        <w:rPr>
          <w:rFonts w:hint="eastAsia" w:ascii="宋体" w:hAnsi="宋体" w:eastAsia="宋体"/>
        </w:rPr>
        <w:t>(三)防护绿地</w:t>
      </w:r>
    </w:p>
    <w:p w14:paraId="253967B2">
      <w:pPr>
        <w:pStyle w:val="5"/>
        <w:spacing w:line="580" w:lineRule="exact"/>
        <w:ind w:firstLine="560"/>
        <w:rPr>
          <w:rFonts w:ascii="宋体" w:hAnsi="宋体"/>
          <w:sz w:val="28"/>
          <w:szCs w:val="28"/>
        </w:rPr>
      </w:pPr>
      <w:r>
        <w:rPr>
          <w:rFonts w:hint="eastAsia" w:ascii="宋体" w:hAnsi="宋体"/>
          <w:sz w:val="28"/>
          <w:szCs w:val="28"/>
        </w:rPr>
        <w:t>羊河生态公园</w:t>
      </w:r>
    </w:p>
    <w:p w14:paraId="409CC505">
      <w:pPr>
        <w:pStyle w:val="5"/>
        <w:spacing w:line="580" w:lineRule="exact"/>
        <w:ind w:firstLine="560"/>
        <w:rPr>
          <w:rFonts w:ascii="宋体" w:hAnsi="宋体"/>
          <w:sz w:val="28"/>
          <w:szCs w:val="28"/>
        </w:rPr>
      </w:pPr>
      <w:r>
        <w:rPr>
          <w:rFonts w:hint="eastAsia" w:ascii="宋体" w:hAnsi="宋体"/>
          <w:sz w:val="28"/>
          <w:szCs w:val="28"/>
        </w:rPr>
        <w:t>专类公园，面积为13.88公顷，位于黄围街北侧。公园以滨河生态治理为特色、打造海绵城市示范区建设。强调生态和群落的特点，提升绿地景观的层次感和空间感。保护河流两侧动物栖息地，作为理想的河流生态系统和自然科普空间。</w:t>
      </w:r>
    </w:p>
    <w:p w14:paraId="15E2ADC4">
      <w:pPr>
        <w:spacing w:line="580" w:lineRule="exact"/>
        <w:rPr>
          <w:rFonts w:ascii="宋体" w:hAnsi="宋体"/>
          <w:sz w:val="28"/>
          <w:szCs w:val="28"/>
        </w:rPr>
      </w:pPr>
      <w:r>
        <w:rPr>
          <w:rFonts w:hint="eastAsia" w:ascii="宋体" w:hAnsi="宋体"/>
          <w:sz w:val="28"/>
          <w:szCs w:val="28"/>
        </w:rPr>
        <w:t>规划防护绿地面积43.14公顷，占总建设用地的4.13%。防护绿地包括沿高压线走廊布置的市政廊道，公路、外环路两侧防护绿地，以及规划范围内河道、水渠等水体的防护绿地，还包括城区内保护山体的防护绿地。外环路两侧控制15米宽的防护绿带。南部高压线走廊两侧控制25米防护绿带</w:t>
      </w:r>
      <w:r>
        <w:rPr>
          <w:rFonts w:ascii="宋体" w:hAnsi="宋体"/>
          <w:sz w:val="28"/>
          <w:szCs w:val="28"/>
        </w:rPr>
        <w:t>，</w:t>
      </w:r>
      <w:r>
        <w:rPr>
          <w:rFonts w:hint="eastAsia" w:ascii="宋体" w:hAnsi="宋体"/>
          <w:sz w:val="28"/>
          <w:szCs w:val="28"/>
        </w:rPr>
        <w:t>河道两侧控制30-50米防护绿带</w:t>
      </w:r>
      <w:r>
        <w:rPr>
          <w:rFonts w:ascii="宋体" w:hAnsi="宋体"/>
          <w:sz w:val="28"/>
          <w:szCs w:val="28"/>
        </w:rPr>
        <w:t>。</w:t>
      </w:r>
    </w:p>
    <w:p w14:paraId="4FFCF6DF">
      <w:pPr>
        <w:spacing w:line="580" w:lineRule="exact"/>
        <w:rPr>
          <w:rFonts w:ascii="宋体" w:hAnsi="宋体"/>
          <w:sz w:val="28"/>
          <w:szCs w:val="28"/>
        </w:rPr>
      </w:pPr>
    </w:p>
    <w:p w14:paraId="5EA21DB0">
      <w:pPr>
        <w:spacing w:line="580" w:lineRule="exact"/>
        <w:rPr>
          <w:rFonts w:ascii="宋体" w:hAnsi="宋体"/>
          <w:sz w:val="28"/>
          <w:szCs w:val="28"/>
        </w:rPr>
        <w:sectPr>
          <w:pgSz w:w="23814" w:h="16840" w:orient="landscape"/>
          <w:pgMar w:top="1985" w:right="1701" w:bottom="1701" w:left="2268" w:header="1134" w:footer="1134" w:gutter="0"/>
          <w:cols w:space="2109" w:num="2"/>
          <w:docGrid w:type="lines" w:linePitch="312" w:charSpace="-3603"/>
        </w:sectPr>
      </w:pPr>
    </w:p>
    <w:p w14:paraId="51E38FA3">
      <w:pPr>
        <w:pStyle w:val="2"/>
        <w:spacing w:before="0" w:after="0" w:line="580" w:lineRule="exact"/>
        <w:jc w:val="center"/>
        <w:rPr>
          <w:rFonts w:ascii="黑体" w:hAnsi="黑体" w:eastAsia="黑体"/>
          <w:sz w:val="36"/>
          <w:szCs w:val="36"/>
        </w:rPr>
      </w:pPr>
      <w:bookmarkStart w:id="31" w:name="_Toc528317030"/>
      <w:r>
        <w:rPr>
          <w:rFonts w:hint="eastAsia" w:ascii="黑体" w:hAnsi="黑体" w:eastAsia="黑体"/>
          <w:sz w:val="36"/>
          <w:szCs w:val="36"/>
        </w:rPr>
        <w:t xml:space="preserve">第六章  </w:t>
      </w:r>
      <w:r>
        <w:rPr>
          <w:rFonts w:ascii="黑体" w:hAnsi="黑体" w:eastAsia="黑体"/>
          <w:sz w:val="36"/>
          <w:szCs w:val="36"/>
        </w:rPr>
        <w:t>道路交通规划</w:t>
      </w:r>
      <w:bookmarkEnd w:id="31"/>
    </w:p>
    <w:p w14:paraId="23003870">
      <w:pPr>
        <w:pStyle w:val="47"/>
        <w:spacing w:line="580" w:lineRule="exact"/>
      </w:pPr>
    </w:p>
    <w:p w14:paraId="1C0CC132">
      <w:pPr>
        <w:pStyle w:val="38"/>
        <w:numPr>
          <w:ilvl w:val="0"/>
          <w:numId w:val="7"/>
        </w:numPr>
        <w:spacing w:before="0" w:beforeLines="0" w:after="0" w:afterLines="0" w:line="580" w:lineRule="exact"/>
        <w:rPr>
          <w:rFonts w:ascii="黑体" w:hAnsi="黑体"/>
          <w:b/>
        </w:rPr>
      </w:pPr>
      <w:bookmarkStart w:id="32" w:name="_Toc528317031"/>
      <w:r>
        <w:rPr>
          <w:rFonts w:hint="eastAsia" w:ascii="黑体" w:hAnsi="黑体"/>
          <w:b/>
        </w:rPr>
        <w:t>道路发展策略</w:t>
      </w:r>
      <w:bookmarkEnd w:id="32"/>
    </w:p>
    <w:p w14:paraId="3A24FE25">
      <w:pPr>
        <w:pStyle w:val="5"/>
        <w:spacing w:line="580" w:lineRule="exact"/>
        <w:ind w:firstLine="560"/>
        <w:rPr>
          <w:rFonts w:ascii="宋体" w:hAnsi="宋体"/>
          <w:sz w:val="28"/>
          <w:szCs w:val="28"/>
        </w:rPr>
      </w:pPr>
      <w:r>
        <w:rPr>
          <w:rFonts w:hint="eastAsia" w:ascii="宋体" w:hAnsi="宋体"/>
          <w:sz w:val="28"/>
          <w:szCs w:val="28"/>
        </w:rPr>
        <w:t>交通组织是集约利用土地、提高土地利用强度的保障要素。</w:t>
      </w:r>
    </w:p>
    <w:p w14:paraId="0AF16DAF">
      <w:pPr>
        <w:pStyle w:val="5"/>
        <w:spacing w:line="580" w:lineRule="exact"/>
        <w:ind w:firstLine="560"/>
        <w:rPr>
          <w:rFonts w:ascii="宋体" w:hAnsi="宋体"/>
          <w:sz w:val="28"/>
          <w:szCs w:val="28"/>
        </w:rPr>
      </w:pPr>
      <w:r>
        <w:rPr>
          <w:rFonts w:hint="eastAsia" w:ascii="宋体" w:hAnsi="宋体"/>
          <w:sz w:val="28"/>
          <w:szCs w:val="28"/>
        </w:rPr>
        <w:t>山地城市的路网结构与平原城市不同，方格网棋盘式的直线型道路网结构不适合山地城市，在山地城市中，应优先保证主干道较平直，次级干道顺应地形和山势与主干道连接。</w:t>
      </w:r>
    </w:p>
    <w:p w14:paraId="65F1DCC2">
      <w:pPr>
        <w:pStyle w:val="38"/>
        <w:numPr>
          <w:ilvl w:val="0"/>
          <w:numId w:val="7"/>
        </w:numPr>
        <w:spacing w:before="0" w:beforeLines="0" w:after="0" w:afterLines="0" w:line="580" w:lineRule="exact"/>
        <w:rPr>
          <w:rFonts w:ascii="黑体" w:hAnsi="黑体"/>
          <w:b/>
        </w:rPr>
      </w:pPr>
      <w:bookmarkStart w:id="33" w:name="_Toc528317032"/>
      <w:r>
        <w:rPr>
          <w:rFonts w:hint="eastAsia" w:ascii="黑体" w:hAnsi="黑体"/>
          <w:b/>
        </w:rPr>
        <w:t>道路系统</w:t>
      </w:r>
      <w:bookmarkEnd w:id="33"/>
    </w:p>
    <w:p w14:paraId="42D5E1F6">
      <w:pPr>
        <w:pStyle w:val="47"/>
        <w:spacing w:line="580" w:lineRule="exact"/>
      </w:pPr>
      <w:r>
        <w:t>(</w:t>
      </w:r>
      <w:r>
        <w:rPr>
          <w:rFonts w:hint="eastAsia"/>
        </w:rPr>
        <w:t>一</w:t>
      </w:r>
      <w:r>
        <w:t>)</w:t>
      </w:r>
      <w:r>
        <w:rPr>
          <w:rFonts w:hint="eastAsia"/>
        </w:rPr>
        <w:t>道路系统调整的必要性</w:t>
      </w:r>
    </w:p>
    <w:p w14:paraId="7818A8F5">
      <w:pPr>
        <w:pStyle w:val="5"/>
        <w:spacing w:line="580" w:lineRule="exact"/>
        <w:ind w:left="544" w:firstLine="0" w:firstLineChars="0"/>
        <w:rPr>
          <w:rFonts w:ascii="宋体" w:hAnsi="宋体"/>
          <w:spacing w:val="-4"/>
          <w:sz w:val="28"/>
          <w:szCs w:val="28"/>
        </w:rPr>
      </w:pPr>
      <w:r>
        <w:rPr>
          <w:rFonts w:hint="eastAsia" w:ascii="宋体" w:hAnsi="宋体"/>
          <w:spacing w:val="-4"/>
          <w:sz w:val="28"/>
          <w:szCs w:val="28"/>
        </w:rPr>
        <w:t>1、充分结合地形，深化总体规划的设计意图</w:t>
      </w:r>
    </w:p>
    <w:p w14:paraId="490F1F5C">
      <w:pPr>
        <w:pStyle w:val="5"/>
        <w:spacing w:line="580" w:lineRule="exact"/>
        <w:ind w:firstLine="560"/>
        <w:rPr>
          <w:sz w:val="28"/>
          <w:szCs w:val="28"/>
        </w:rPr>
      </w:pPr>
      <w:r>
        <w:rPr>
          <w:rFonts w:hint="eastAsia" w:ascii="宋体" w:hAnsi="宋体"/>
          <w:sz w:val="28"/>
          <w:szCs w:val="28"/>
        </w:rPr>
        <w:t>山地城镇的路网结构与平原城镇的不同</w:t>
      </w:r>
      <w:r>
        <w:rPr>
          <w:rFonts w:ascii="宋体" w:hAnsi="宋体"/>
          <w:sz w:val="28"/>
          <w:szCs w:val="28"/>
        </w:rPr>
        <w:t>,</w:t>
      </w:r>
      <w:r>
        <w:rPr>
          <w:rFonts w:hint="eastAsia" w:ascii="宋体" w:hAnsi="宋体"/>
          <w:sz w:val="28"/>
          <w:szCs w:val="28"/>
        </w:rPr>
        <w:t>平原城镇通常使用方格网棋盘式的直线型道路网结构</w:t>
      </w:r>
      <w:r>
        <w:rPr>
          <w:rFonts w:ascii="宋体" w:hAnsi="宋体"/>
          <w:sz w:val="28"/>
          <w:szCs w:val="28"/>
        </w:rPr>
        <w:t>,</w:t>
      </w:r>
      <w:r>
        <w:rPr>
          <w:rFonts w:hint="eastAsia" w:ascii="宋体" w:hAnsi="宋体"/>
          <w:sz w:val="28"/>
          <w:szCs w:val="28"/>
        </w:rPr>
        <w:t>而山地城镇中</w:t>
      </w:r>
      <w:r>
        <w:rPr>
          <w:rFonts w:ascii="宋体" w:hAnsi="宋体"/>
          <w:sz w:val="28"/>
          <w:szCs w:val="28"/>
        </w:rPr>
        <w:t>,</w:t>
      </w:r>
      <w:r>
        <w:rPr>
          <w:rFonts w:hint="eastAsia" w:ascii="宋体" w:hAnsi="宋体"/>
          <w:sz w:val="28"/>
          <w:szCs w:val="28"/>
        </w:rPr>
        <w:t>通常是保证主干道较为平直</w:t>
      </w:r>
      <w:r>
        <w:rPr>
          <w:rFonts w:ascii="宋体" w:hAnsi="宋体"/>
          <w:sz w:val="28"/>
          <w:szCs w:val="28"/>
        </w:rPr>
        <w:t>,</w:t>
      </w:r>
      <w:r>
        <w:rPr>
          <w:rFonts w:hint="eastAsia" w:ascii="宋体" w:hAnsi="宋体"/>
          <w:sz w:val="28"/>
          <w:szCs w:val="28"/>
        </w:rPr>
        <w:t>其他次级干道顺应地形山势呈环状与主干道连接。现行总体规划的路网结构造型曲折</w:t>
      </w:r>
      <w:r>
        <w:rPr>
          <w:rFonts w:ascii="宋体" w:hAnsi="宋体"/>
          <w:sz w:val="28"/>
          <w:szCs w:val="28"/>
        </w:rPr>
        <w:t>,</w:t>
      </w:r>
      <w:r>
        <w:rPr>
          <w:rFonts w:hint="eastAsia" w:ascii="宋体" w:hAnsi="宋体"/>
          <w:sz w:val="28"/>
          <w:szCs w:val="28"/>
        </w:rPr>
        <w:t>并且多为尽端路。总规中</w:t>
      </w:r>
      <w:r>
        <w:rPr>
          <w:rFonts w:hint="eastAsia"/>
          <w:sz w:val="28"/>
          <w:szCs w:val="28"/>
        </w:rPr>
        <w:t xml:space="preserve">道路等级划分相对合理但南北联系不畅，断头路多，路网结构不够完善；道路线形需深入研究并确定。 </w:t>
      </w:r>
    </w:p>
    <w:p w14:paraId="70ACF288">
      <w:pPr>
        <w:pStyle w:val="5"/>
        <w:spacing w:line="580" w:lineRule="exact"/>
        <w:ind w:firstLine="560"/>
        <w:rPr>
          <w:rFonts w:ascii="宋体" w:hAnsi="宋体"/>
          <w:sz w:val="28"/>
          <w:szCs w:val="28"/>
        </w:rPr>
      </w:pPr>
      <w:r>
        <w:rPr>
          <w:rFonts w:hint="eastAsia" w:ascii="宋体" w:hAnsi="宋体"/>
          <w:sz w:val="28"/>
          <w:szCs w:val="28"/>
        </w:rPr>
        <w:t>本次规划对总规路网重新进行梳理，详细分析地形走势，在保证总体规划确定的路网结构不变的基础上，进一步确定城市主干道的线型，构建完整的道路网结构。</w:t>
      </w:r>
    </w:p>
    <w:p w14:paraId="0995C6A3">
      <w:pPr>
        <w:pStyle w:val="5"/>
        <w:spacing w:line="580" w:lineRule="exact"/>
        <w:ind w:firstLine="560"/>
        <w:rPr>
          <w:rFonts w:ascii="宋体" w:hAnsi="宋体"/>
          <w:sz w:val="28"/>
          <w:szCs w:val="28"/>
        </w:rPr>
      </w:pPr>
    </w:p>
    <w:p w14:paraId="1B418012">
      <w:pPr>
        <w:pStyle w:val="5"/>
        <w:spacing w:line="580" w:lineRule="exact"/>
        <w:ind w:firstLine="560"/>
        <w:rPr>
          <w:rFonts w:ascii="宋体" w:hAnsi="宋体"/>
          <w:sz w:val="28"/>
          <w:szCs w:val="28"/>
        </w:rPr>
      </w:pPr>
    </w:p>
    <w:p w14:paraId="43CB4B3D">
      <w:pPr>
        <w:pStyle w:val="5"/>
        <w:spacing w:line="580" w:lineRule="exact"/>
        <w:ind w:firstLine="560"/>
        <w:rPr>
          <w:rFonts w:ascii="宋体" w:hAnsi="宋体"/>
          <w:sz w:val="28"/>
          <w:szCs w:val="28"/>
        </w:rPr>
      </w:pPr>
    </w:p>
    <w:p w14:paraId="2825ED7C">
      <w:pPr>
        <w:pStyle w:val="5"/>
        <w:spacing w:line="580" w:lineRule="exact"/>
        <w:ind w:firstLine="560"/>
        <w:rPr>
          <w:rFonts w:ascii="宋体" w:hAnsi="宋体"/>
          <w:sz w:val="28"/>
          <w:szCs w:val="28"/>
        </w:rPr>
      </w:pPr>
    </w:p>
    <w:p w14:paraId="24D3ECEB">
      <w:pPr>
        <w:pStyle w:val="5"/>
        <w:spacing w:line="580" w:lineRule="exact"/>
        <w:ind w:firstLine="560"/>
        <w:rPr>
          <w:rFonts w:ascii="宋体" w:hAnsi="宋体"/>
          <w:sz w:val="28"/>
          <w:szCs w:val="28"/>
        </w:rPr>
      </w:pPr>
      <w:r>
        <w:rPr>
          <w:rFonts w:hint="eastAsia" w:ascii="宋体" w:hAnsi="宋体"/>
          <w:sz w:val="28"/>
          <w:szCs w:val="28"/>
        </w:rPr>
        <w:drawing>
          <wp:anchor distT="0" distB="0" distL="114300" distR="114300" simplePos="0" relativeHeight="251671552" behindDoc="0" locked="0" layoutInCell="1" allowOverlap="1">
            <wp:simplePos x="0" y="0"/>
            <wp:positionH relativeFrom="column">
              <wp:posOffset>85090</wp:posOffset>
            </wp:positionH>
            <wp:positionV relativeFrom="paragraph">
              <wp:posOffset>24130</wp:posOffset>
            </wp:positionV>
            <wp:extent cx="5631180" cy="2905125"/>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 cstate="print"/>
                    <a:srcRect/>
                    <a:stretch>
                      <a:fillRect/>
                    </a:stretch>
                  </pic:blipFill>
                  <pic:spPr>
                    <a:xfrm>
                      <a:off x="0" y="0"/>
                      <a:ext cx="5631180" cy="2905125"/>
                    </a:xfrm>
                    <a:prstGeom prst="rect">
                      <a:avLst/>
                    </a:prstGeom>
                    <a:noFill/>
                    <a:ln w="9525">
                      <a:noFill/>
                      <a:miter lim="800000"/>
                      <a:headEnd/>
                      <a:tailEnd/>
                    </a:ln>
                  </pic:spPr>
                </pic:pic>
              </a:graphicData>
            </a:graphic>
          </wp:anchor>
        </w:drawing>
      </w:r>
    </w:p>
    <w:p w14:paraId="513317E6">
      <w:pPr>
        <w:pStyle w:val="5"/>
        <w:spacing w:line="580" w:lineRule="exact"/>
        <w:ind w:firstLine="560"/>
        <w:rPr>
          <w:rFonts w:ascii="宋体" w:hAnsi="宋体"/>
          <w:sz w:val="28"/>
          <w:szCs w:val="28"/>
        </w:rPr>
      </w:pPr>
    </w:p>
    <w:p w14:paraId="5677F8D2">
      <w:pPr>
        <w:pStyle w:val="5"/>
        <w:spacing w:line="580" w:lineRule="exact"/>
        <w:ind w:firstLine="560"/>
        <w:rPr>
          <w:rFonts w:ascii="宋体" w:hAnsi="宋体"/>
          <w:sz w:val="28"/>
          <w:szCs w:val="28"/>
        </w:rPr>
      </w:pPr>
    </w:p>
    <w:p w14:paraId="3B7E6DD0">
      <w:pPr>
        <w:pStyle w:val="5"/>
        <w:spacing w:line="580" w:lineRule="exact"/>
        <w:ind w:firstLine="560"/>
        <w:rPr>
          <w:rFonts w:ascii="宋体" w:hAnsi="宋体"/>
          <w:sz w:val="28"/>
          <w:szCs w:val="28"/>
        </w:rPr>
      </w:pPr>
    </w:p>
    <w:p w14:paraId="2B5C9DA9">
      <w:pPr>
        <w:pStyle w:val="5"/>
        <w:spacing w:line="580" w:lineRule="exact"/>
        <w:ind w:firstLine="560"/>
        <w:rPr>
          <w:rFonts w:ascii="宋体" w:hAnsi="宋体"/>
          <w:sz w:val="28"/>
          <w:szCs w:val="28"/>
        </w:rPr>
      </w:pPr>
    </w:p>
    <w:p w14:paraId="17E4E3B2">
      <w:pPr>
        <w:pStyle w:val="5"/>
        <w:spacing w:line="580" w:lineRule="exact"/>
        <w:ind w:firstLine="560"/>
        <w:rPr>
          <w:rFonts w:ascii="宋体" w:hAnsi="宋体"/>
          <w:sz w:val="28"/>
          <w:szCs w:val="28"/>
        </w:rPr>
      </w:pPr>
    </w:p>
    <w:p w14:paraId="3BDD6C2B">
      <w:pPr>
        <w:pStyle w:val="5"/>
        <w:spacing w:line="580" w:lineRule="exact"/>
        <w:ind w:firstLine="422"/>
        <w:jc w:val="center"/>
        <w:rPr>
          <w:rFonts w:ascii="宋体" w:hAnsi="宋体"/>
          <w:b/>
          <w:szCs w:val="21"/>
        </w:rPr>
      </w:pPr>
    </w:p>
    <w:p w14:paraId="05BFD80D">
      <w:pPr>
        <w:pStyle w:val="5"/>
        <w:spacing w:line="580" w:lineRule="exact"/>
        <w:ind w:firstLine="422"/>
        <w:jc w:val="center"/>
        <w:rPr>
          <w:rFonts w:ascii="宋体" w:hAnsi="宋体"/>
          <w:b/>
          <w:szCs w:val="21"/>
        </w:rPr>
      </w:pPr>
    </w:p>
    <w:p w14:paraId="17D32A92">
      <w:pPr>
        <w:pStyle w:val="48"/>
        <w:rPr>
          <w:b/>
        </w:rPr>
      </w:pPr>
      <w:r>
        <w:rPr>
          <w:rFonts w:hint="eastAsia"/>
          <w:b/>
        </w:rPr>
        <w:t>现行总规中路网结构</w:t>
      </w:r>
    </w:p>
    <w:p w14:paraId="6E4E415C">
      <w:pPr>
        <w:pStyle w:val="5"/>
        <w:spacing w:line="580" w:lineRule="exact"/>
        <w:ind w:firstLine="560"/>
        <w:rPr>
          <w:rFonts w:ascii="宋体" w:hAnsi="宋体"/>
          <w:sz w:val="28"/>
          <w:szCs w:val="28"/>
        </w:rPr>
      </w:pPr>
      <w:r>
        <w:rPr>
          <w:rFonts w:hint="eastAsia" w:ascii="宋体" w:hAnsi="宋体"/>
          <w:sz w:val="28"/>
          <w:szCs w:val="28"/>
        </w:rPr>
        <w:drawing>
          <wp:anchor distT="0" distB="0" distL="114300" distR="114300" simplePos="0" relativeHeight="251673600" behindDoc="0" locked="0" layoutInCell="1" allowOverlap="1">
            <wp:simplePos x="0" y="0"/>
            <wp:positionH relativeFrom="column">
              <wp:posOffset>44450</wp:posOffset>
            </wp:positionH>
            <wp:positionV relativeFrom="paragraph">
              <wp:posOffset>178435</wp:posOffset>
            </wp:positionV>
            <wp:extent cx="5631180" cy="2752725"/>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4" cstate="print"/>
                    <a:srcRect/>
                    <a:stretch>
                      <a:fillRect/>
                    </a:stretch>
                  </pic:blipFill>
                  <pic:spPr>
                    <a:xfrm>
                      <a:off x="0" y="0"/>
                      <a:ext cx="5631180" cy="2752725"/>
                    </a:xfrm>
                    <a:prstGeom prst="rect">
                      <a:avLst/>
                    </a:prstGeom>
                    <a:noFill/>
                    <a:ln w="9525">
                      <a:noFill/>
                      <a:miter lim="800000"/>
                      <a:headEnd/>
                      <a:tailEnd/>
                    </a:ln>
                  </pic:spPr>
                </pic:pic>
              </a:graphicData>
            </a:graphic>
          </wp:anchor>
        </w:drawing>
      </w:r>
    </w:p>
    <w:p w14:paraId="5D45ED1C">
      <w:pPr>
        <w:pStyle w:val="5"/>
        <w:spacing w:line="580" w:lineRule="exact"/>
        <w:ind w:firstLine="560"/>
        <w:rPr>
          <w:rFonts w:ascii="宋体" w:hAnsi="宋体"/>
          <w:sz w:val="28"/>
          <w:szCs w:val="28"/>
        </w:rPr>
      </w:pPr>
    </w:p>
    <w:p w14:paraId="20A30C3F">
      <w:pPr>
        <w:pStyle w:val="5"/>
        <w:spacing w:line="580" w:lineRule="exact"/>
        <w:ind w:firstLine="560"/>
        <w:rPr>
          <w:rFonts w:ascii="宋体" w:hAnsi="宋体"/>
          <w:sz w:val="28"/>
          <w:szCs w:val="28"/>
        </w:rPr>
      </w:pPr>
    </w:p>
    <w:p w14:paraId="16131B2F">
      <w:pPr>
        <w:pStyle w:val="5"/>
        <w:spacing w:line="580" w:lineRule="exact"/>
        <w:ind w:firstLine="560"/>
        <w:rPr>
          <w:rFonts w:ascii="宋体" w:hAnsi="宋体"/>
          <w:sz w:val="28"/>
          <w:szCs w:val="28"/>
        </w:rPr>
      </w:pPr>
    </w:p>
    <w:p w14:paraId="0E7392FB">
      <w:pPr>
        <w:pStyle w:val="48"/>
        <w:spacing w:line="580" w:lineRule="exact"/>
      </w:pPr>
      <w:r>
        <w:rPr>
          <w:rFonts w:hint="eastAsia"/>
        </w:rPr>
        <w:t>4</w:t>
      </w:r>
    </w:p>
    <w:p w14:paraId="5250A815">
      <w:pPr>
        <w:pStyle w:val="5"/>
        <w:spacing w:line="580" w:lineRule="exact"/>
        <w:ind w:firstLine="422"/>
        <w:jc w:val="center"/>
        <w:rPr>
          <w:rFonts w:ascii="宋体" w:hAnsi="宋体"/>
          <w:b/>
          <w:szCs w:val="21"/>
        </w:rPr>
      </w:pPr>
    </w:p>
    <w:p w14:paraId="65BB4EDC">
      <w:pPr>
        <w:pStyle w:val="5"/>
        <w:spacing w:line="580" w:lineRule="exact"/>
        <w:ind w:firstLine="422"/>
        <w:jc w:val="center"/>
        <w:rPr>
          <w:rFonts w:ascii="宋体" w:hAnsi="宋体"/>
          <w:b/>
          <w:szCs w:val="21"/>
        </w:rPr>
      </w:pPr>
    </w:p>
    <w:p w14:paraId="658D7681">
      <w:pPr>
        <w:pStyle w:val="5"/>
        <w:spacing w:line="580" w:lineRule="exact"/>
        <w:ind w:firstLine="422"/>
        <w:jc w:val="center"/>
        <w:rPr>
          <w:rFonts w:ascii="宋体" w:hAnsi="宋体"/>
          <w:b/>
          <w:szCs w:val="21"/>
        </w:rPr>
      </w:pPr>
    </w:p>
    <w:p w14:paraId="3821E686">
      <w:pPr>
        <w:pStyle w:val="48"/>
        <w:rPr>
          <w:b/>
        </w:rPr>
      </w:pPr>
      <w:r>
        <w:rPr>
          <w:rFonts w:hint="eastAsia"/>
          <w:b/>
        </w:rPr>
        <w:t>调整后控规路网结构</w:t>
      </w:r>
    </w:p>
    <w:p w14:paraId="1F57A12A">
      <w:pPr>
        <w:pStyle w:val="5"/>
        <w:spacing w:line="580" w:lineRule="exact"/>
        <w:ind w:firstLine="560"/>
        <w:rPr>
          <w:rFonts w:ascii="宋体" w:hAnsi="宋体"/>
          <w:sz w:val="28"/>
          <w:szCs w:val="28"/>
        </w:rPr>
      </w:pPr>
      <w:r>
        <w:rPr>
          <w:rFonts w:hint="eastAsia" w:ascii="宋体" w:hAnsi="宋体"/>
          <w:sz w:val="28"/>
          <w:szCs w:val="28"/>
        </w:rPr>
        <w:t>2、结合山地城市的地形特征，补充完善支路系统</w:t>
      </w:r>
    </w:p>
    <w:p w14:paraId="35649878">
      <w:pPr>
        <w:pStyle w:val="5"/>
        <w:spacing w:line="580" w:lineRule="exact"/>
        <w:ind w:firstLine="544"/>
        <w:rPr>
          <w:rFonts w:ascii="宋体" w:hAnsi="宋体"/>
          <w:spacing w:val="-4"/>
          <w:sz w:val="28"/>
          <w:szCs w:val="28"/>
        </w:rPr>
      </w:pPr>
      <w:r>
        <w:rPr>
          <w:rFonts w:hint="eastAsia" w:ascii="宋体" w:hAnsi="宋体"/>
          <w:spacing w:val="-4"/>
          <w:sz w:val="28"/>
          <w:szCs w:val="28"/>
        </w:rPr>
        <w:t>在中心城区中</w:t>
      </w:r>
      <w:r>
        <w:rPr>
          <w:rFonts w:ascii="宋体" w:hAnsi="宋体"/>
          <w:spacing w:val="-4"/>
          <w:sz w:val="28"/>
          <w:szCs w:val="28"/>
        </w:rPr>
        <w:t>,</w:t>
      </w:r>
      <w:r>
        <w:rPr>
          <w:rFonts w:hint="eastAsia" w:ascii="宋体" w:hAnsi="宋体"/>
          <w:spacing w:val="-4"/>
          <w:sz w:val="28"/>
          <w:szCs w:val="28"/>
        </w:rPr>
        <w:t>由于地形和现状的原因</w:t>
      </w:r>
      <w:r>
        <w:rPr>
          <w:rFonts w:ascii="宋体" w:hAnsi="宋体"/>
          <w:spacing w:val="-4"/>
          <w:sz w:val="28"/>
          <w:szCs w:val="28"/>
        </w:rPr>
        <w:t>,</w:t>
      </w:r>
      <w:r>
        <w:rPr>
          <w:rFonts w:hint="eastAsia" w:ascii="宋体" w:hAnsi="宋体"/>
          <w:spacing w:val="-4"/>
          <w:sz w:val="28"/>
          <w:szCs w:val="28"/>
        </w:rPr>
        <w:t>主干道的大部分路段纵坡都在</w:t>
      </w:r>
      <w:r>
        <w:rPr>
          <w:rFonts w:ascii="宋体" w:hAnsi="宋体"/>
          <w:spacing w:val="-4"/>
          <w:sz w:val="28"/>
          <w:szCs w:val="28"/>
        </w:rPr>
        <w:t>1</w:t>
      </w:r>
      <w:r>
        <w:rPr>
          <w:rFonts w:hint="eastAsia" w:ascii="宋体" w:hAnsi="宋体"/>
          <w:spacing w:val="-4"/>
          <w:sz w:val="28"/>
          <w:szCs w:val="28"/>
        </w:rPr>
        <w:t>-4</w:t>
      </w:r>
      <w:r>
        <w:rPr>
          <w:rFonts w:ascii="宋体" w:hAnsi="宋体"/>
          <w:spacing w:val="-4"/>
          <w:sz w:val="28"/>
          <w:szCs w:val="28"/>
        </w:rPr>
        <w:t>%</w:t>
      </w:r>
      <w:r>
        <w:rPr>
          <w:rFonts w:hint="eastAsia" w:ascii="宋体" w:hAnsi="宋体"/>
          <w:spacing w:val="-4"/>
          <w:sz w:val="28"/>
          <w:szCs w:val="28"/>
        </w:rPr>
        <w:t>左右</w:t>
      </w:r>
      <w:r>
        <w:rPr>
          <w:rFonts w:ascii="宋体" w:hAnsi="宋体"/>
          <w:spacing w:val="-4"/>
          <w:sz w:val="28"/>
          <w:szCs w:val="28"/>
        </w:rPr>
        <w:t>,</w:t>
      </w:r>
      <w:r>
        <w:rPr>
          <w:rFonts w:hint="eastAsia" w:ascii="宋体" w:hAnsi="宋体"/>
          <w:spacing w:val="-4"/>
          <w:sz w:val="28"/>
          <w:szCs w:val="28"/>
        </w:rPr>
        <w:t>而支路的纵坡</w:t>
      </w:r>
      <w:r>
        <w:rPr>
          <w:rFonts w:ascii="宋体" w:hAnsi="宋体"/>
          <w:spacing w:val="-4"/>
          <w:sz w:val="28"/>
          <w:szCs w:val="28"/>
        </w:rPr>
        <w:t>,</w:t>
      </w:r>
      <w:r>
        <w:rPr>
          <w:rFonts w:hint="eastAsia" w:ascii="宋体" w:hAnsi="宋体"/>
          <w:spacing w:val="-4"/>
          <w:sz w:val="28"/>
          <w:szCs w:val="28"/>
        </w:rPr>
        <w:t>因地势走向有的已经到达了国家规定不应超过</w:t>
      </w:r>
      <w:r>
        <w:rPr>
          <w:rFonts w:ascii="宋体" w:hAnsi="宋体"/>
          <w:spacing w:val="-4"/>
          <w:sz w:val="28"/>
          <w:szCs w:val="28"/>
        </w:rPr>
        <w:t>8%</w:t>
      </w:r>
      <w:r>
        <w:rPr>
          <w:rFonts w:hint="eastAsia" w:ascii="宋体" w:hAnsi="宋体"/>
          <w:spacing w:val="-4"/>
          <w:sz w:val="28"/>
          <w:szCs w:val="28"/>
        </w:rPr>
        <w:t>的标准</w:t>
      </w:r>
      <w:r>
        <w:rPr>
          <w:rFonts w:ascii="宋体" w:hAnsi="宋体"/>
          <w:spacing w:val="-4"/>
          <w:sz w:val="28"/>
          <w:szCs w:val="28"/>
        </w:rPr>
        <w:t>.</w:t>
      </w:r>
      <w:r>
        <w:rPr>
          <w:rFonts w:hint="eastAsia" w:ascii="宋体" w:hAnsi="宋体"/>
          <w:spacing w:val="-4"/>
          <w:sz w:val="28"/>
          <w:szCs w:val="28"/>
        </w:rPr>
        <w:t>本次规划在尽可能的保证纵坡坡度在国家规定的标准以下</w:t>
      </w:r>
      <w:r>
        <w:rPr>
          <w:rFonts w:ascii="宋体" w:hAnsi="宋体"/>
          <w:spacing w:val="-4"/>
          <w:sz w:val="28"/>
          <w:szCs w:val="28"/>
        </w:rPr>
        <w:t>,</w:t>
      </w:r>
      <w:r>
        <w:rPr>
          <w:rFonts w:hint="eastAsia" w:ascii="宋体" w:hAnsi="宋体"/>
          <w:spacing w:val="-4"/>
          <w:sz w:val="28"/>
          <w:szCs w:val="28"/>
        </w:rPr>
        <w:t>山路支路不要求取直</w:t>
      </w:r>
      <w:r>
        <w:rPr>
          <w:rFonts w:ascii="宋体" w:hAnsi="宋体"/>
          <w:spacing w:val="-4"/>
          <w:sz w:val="28"/>
          <w:szCs w:val="28"/>
        </w:rPr>
        <w:t>,</w:t>
      </w:r>
      <w:r>
        <w:rPr>
          <w:rFonts w:hint="eastAsia" w:ascii="宋体" w:hAnsi="宋体"/>
          <w:spacing w:val="-4"/>
          <w:sz w:val="28"/>
          <w:szCs w:val="28"/>
        </w:rPr>
        <w:t>充分考虑城镇、山体的排污、排水</w:t>
      </w:r>
      <w:r>
        <w:rPr>
          <w:rFonts w:ascii="宋体" w:hAnsi="宋体"/>
          <w:spacing w:val="-4"/>
          <w:sz w:val="28"/>
          <w:szCs w:val="28"/>
        </w:rPr>
        <w:t>,</w:t>
      </w:r>
      <w:r>
        <w:rPr>
          <w:rFonts w:hint="eastAsia" w:ascii="宋体" w:hAnsi="宋体"/>
          <w:spacing w:val="-4"/>
          <w:sz w:val="28"/>
          <w:szCs w:val="28"/>
        </w:rPr>
        <w:t>结合城镇防洪进行设计。</w:t>
      </w:r>
    </w:p>
    <w:p w14:paraId="22D72C09">
      <w:pPr>
        <w:pStyle w:val="5"/>
        <w:spacing w:line="580" w:lineRule="exact"/>
        <w:ind w:firstLine="560"/>
        <w:rPr>
          <w:rFonts w:ascii="宋体" w:hAnsi="宋体"/>
          <w:sz w:val="28"/>
          <w:szCs w:val="28"/>
        </w:rPr>
      </w:pPr>
      <w:r>
        <w:rPr>
          <w:rFonts w:hint="eastAsia" w:ascii="宋体" w:hAnsi="宋体"/>
          <w:sz w:val="28"/>
          <w:szCs w:val="28"/>
        </w:rPr>
        <w:drawing>
          <wp:anchor distT="0" distB="0" distL="114300" distR="114300" simplePos="0" relativeHeight="251679744" behindDoc="0" locked="0" layoutInCell="1" allowOverlap="1">
            <wp:simplePos x="0" y="0"/>
            <wp:positionH relativeFrom="column">
              <wp:posOffset>180975</wp:posOffset>
            </wp:positionH>
            <wp:positionV relativeFrom="paragraph">
              <wp:posOffset>43180</wp:posOffset>
            </wp:positionV>
            <wp:extent cx="5329555" cy="2966085"/>
            <wp:effectExtent l="0" t="0" r="5080" b="635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srcRect/>
                    <a:stretch>
                      <a:fillRect/>
                    </a:stretch>
                  </pic:blipFill>
                  <pic:spPr>
                    <a:xfrm>
                      <a:off x="0" y="0"/>
                      <a:ext cx="5329490" cy="2965836"/>
                    </a:xfrm>
                    <a:prstGeom prst="rect">
                      <a:avLst/>
                    </a:prstGeom>
                    <a:noFill/>
                    <a:ln w="9525">
                      <a:noFill/>
                      <a:miter lim="800000"/>
                      <a:headEnd/>
                      <a:tailEnd/>
                    </a:ln>
                  </pic:spPr>
                </pic:pic>
              </a:graphicData>
            </a:graphic>
          </wp:anchor>
        </w:drawing>
      </w:r>
    </w:p>
    <w:p w14:paraId="57FF8981">
      <w:pPr>
        <w:pStyle w:val="5"/>
        <w:spacing w:line="580" w:lineRule="exact"/>
        <w:ind w:firstLine="560"/>
        <w:rPr>
          <w:rFonts w:ascii="宋体" w:hAnsi="宋体"/>
          <w:sz w:val="28"/>
          <w:szCs w:val="28"/>
        </w:rPr>
      </w:pPr>
    </w:p>
    <w:p w14:paraId="2DEE6B60">
      <w:pPr>
        <w:pStyle w:val="5"/>
        <w:spacing w:line="580" w:lineRule="exact"/>
        <w:ind w:firstLine="560"/>
        <w:rPr>
          <w:rFonts w:ascii="宋体" w:hAnsi="宋体"/>
          <w:sz w:val="28"/>
          <w:szCs w:val="28"/>
        </w:rPr>
      </w:pPr>
    </w:p>
    <w:p w14:paraId="52E7BD7E">
      <w:pPr>
        <w:pStyle w:val="5"/>
        <w:spacing w:line="580" w:lineRule="exact"/>
        <w:ind w:firstLine="560"/>
        <w:rPr>
          <w:rFonts w:ascii="宋体" w:hAnsi="宋体"/>
          <w:sz w:val="28"/>
          <w:szCs w:val="28"/>
        </w:rPr>
      </w:pPr>
    </w:p>
    <w:p w14:paraId="14CB31B0">
      <w:pPr>
        <w:pStyle w:val="5"/>
        <w:spacing w:line="580" w:lineRule="exact"/>
        <w:ind w:firstLine="560"/>
        <w:rPr>
          <w:rFonts w:ascii="宋体" w:hAnsi="宋体"/>
          <w:sz w:val="28"/>
          <w:szCs w:val="28"/>
        </w:rPr>
      </w:pPr>
    </w:p>
    <w:p w14:paraId="2B6662C1">
      <w:pPr>
        <w:pStyle w:val="5"/>
        <w:spacing w:line="580" w:lineRule="exact"/>
        <w:ind w:firstLine="560"/>
        <w:rPr>
          <w:rFonts w:ascii="宋体" w:hAnsi="宋体"/>
          <w:sz w:val="28"/>
          <w:szCs w:val="28"/>
        </w:rPr>
      </w:pPr>
    </w:p>
    <w:p w14:paraId="5B325B97">
      <w:pPr>
        <w:pStyle w:val="5"/>
        <w:spacing w:line="580" w:lineRule="exact"/>
        <w:ind w:firstLine="560"/>
        <w:rPr>
          <w:rFonts w:ascii="宋体" w:hAnsi="宋体"/>
          <w:sz w:val="28"/>
          <w:szCs w:val="28"/>
        </w:rPr>
      </w:pPr>
    </w:p>
    <w:p w14:paraId="14786754">
      <w:pPr>
        <w:pStyle w:val="5"/>
        <w:spacing w:line="580" w:lineRule="exact"/>
        <w:ind w:firstLine="560"/>
        <w:rPr>
          <w:rFonts w:ascii="宋体" w:hAnsi="宋体"/>
          <w:sz w:val="28"/>
          <w:szCs w:val="28"/>
        </w:rPr>
      </w:pPr>
    </w:p>
    <w:p w14:paraId="0F349100">
      <w:pPr>
        <w:pStyle w:val="5"/>
        <w:spacing w:line="544" w:lineRule="exact"/>
        <w:ind w:firstLine="544"/>
        <w:rPr>
          <w:rFonts w:ascii="宋体" w:hAnsi="宋体"/>
          <w:spacing w:val="-4"/>
          <w:sz w:val="28"/>
          <w:szCs w:val="28"/>
        </w:rPr>
      </w:pPr>
      <w:r>
        <w:rPr>
          <w:rFonts w:hint="eastAsia" w:ascii="宋体" w:hAnsi="宋体"/>
          <w:spacing w:val="-4"/>
          <w:sz w:val="28"/>
          <w:szCs w:val="28"/>
        </w:rPr>
        <w:t>（二）道路系统规划</w:t>
      </w:r>
    </w:p>
    <w:p w14:paraId="2FB317F2">
      <w:pPr>
        <w:pStyle w:val="5"/>
        <w:spacing w:line="544" w:lineRule="exact"/>
        <w:ind w:firstLine="544"/>
        <w:rPr>
          <w:rFonts w:ascii="宋体" w:hAnsi="宋体"/>
          <w:spacing w:val="-4"/>
          <w:sz w:val="28"/>
          <w:szCs w:val="28"/>
        </w:rPr>
      </w:pPr>
      <w:r>
        <w:rPr>
          <w:rFonts w:hint="eastAsia" w:ascii="宋体" w:hAnsi="宋体"/>
          <w:spacing w:val="-4"/>
          <w:sz w:val="28"/>
          <w:szCs w:val="28"/>
        </w:rPr>
        <w:t>依据总体规划结合丘陵地貌，陵川采用“主干路+小环路”的道路结构模式，拓宽主干路，调整内部次级道路的线型，联通次干路和支路，以提高道路的可达性，并便于组织片区的内部交通，缓解主干路上的交通压力。</w:t>
      </w:r>
    </w:p>
    <w:p w14:paraId="02B2613B">
      <w:pPr>
        <w:pStyle w:val="5"/>
        <w:spacing w:line="544" w:lineRule="exact"/>
        <w:ind w:firstLine="560"/>
        <w:rPr>
          <w:rFonts w:ascii="宋体" w:hAnsi="宋体"/>
          <w:sz w:val="28"/>
          <w:szCs w:val="28"/>
        </w:rPr>
      </w:pPr>
      <w:r>
        <w:rPr>
          <w:rFonts w:hint="eastAsia" w:ascii="宋体" w:hAnsi="宋体"/>
          <w:sz w:val="28"/>
          <w:szCs w:val="28"/>
        </w:rPr>
        <w:t>依据总体规划确定的道路等级、红线、断面形式，综合考虑陵川现状和发展需求，完善城区道路网系统。本次规划道路系统依等级分为主干道、次干道、支路三级。</w:t>
      </w:r>
    </w:p>
    <w:p w14:paraId="2D81F25B">
      <w:pPr>
        <w:pStyle w:val="5"/>
        <w:spacing w:line="544" w:lineRule="exact"/>
        <w:ind w:firstLine="560"/>
        <w:rPr>
          <w:rFonts w:ascii="宋体" w:hAnsi="宋体"/>
          <w:sz w:val="28"/>
          <w:szCs w:val="28"/>
        </w:rPr>
      </w:pPr>
      <w:r>
        <w:rPr>
          <w:rFonts w:hint="eastAsia" w:ascii="宋体" w:hAnsi="宋体"/>
          <w:sz w:val="28"/>
          <w:szCs w:val="28"/>
        </w:rPr>
        <w:t>1、主干道系统</w:t>
      </w:r>
    </w:p>
    <w:p w14:paraId="0A8F964C">
      <w:pPr>
        <w:pStyle w:val="5"/>
        <w:spacing w:line="544" w:lineRule="exact"/>
        <w:ind w:firstLine="560"/>
        <w:rPr>
          <w:rFonts w:ascii="宋体" w:hAnsi="宋体"/>
          <w:sz w:val="28"/>
          <w:szCs w:val="28"/>
        </w:rPr>
      </w:pPr>
      <w:r>
        <w:rPr>
          <w:rFonts w:hint="eastAsia" w:ascii="宋体" w:hAnsi="宋体"/>
          <w:sz w:val="28"/>
          <w:szCs w:val="28"/>
        </w:rPr>
        <w:t>主干道为城市功能联系的主要通道和交通汇集线，分为综合性主干道和交通性主干道。综合性干道兼备交通通过性和生活景观性双重功能，交通性主干道以交通为主，兼顾景观功能。</w:t>
      </w:r>
    </w:p>
    <w:p w14:paraId="22928D50">
      <w:pPr>
        <w:pStyle w:val="5"/>
        <w:spacing w:line="544" w:lineRule="exact"/>
        <w:ind w:firstLine="560"/>
        <w:rPr>
          <w:rFonts w:ascii="宋体" w:hAnsi="宋体"/>
          <w:sz w:val="28"/>
          <w:szCs w:val="28"/>
        </w:rPr>
      </w:pPr>
      <w:r>
        <w:rPr>
          <w:rFonts w:hint="eastAsia" w:ascii="宋体" w:hAnsi="宋体"/>
          <w:sz w:val="28"/>
          <w:szCs w:val="28"/>
        </w:rPr>
        <w:t>规划综合性主干道包括古陵路、望洛路、开云街。</w:t>
      </w:r>
    </w:p>
    <w:p w14:paraId="02FD8098">
      <w:pPr>
        <w:pStyle w:val="5"/>
        <w:spacing w:line="544" w:lineRule="exact"/>
        <w:ind w:firstLine="560"/>
        <w:rPr>
          <w:rFonts w:ascii="宋体" w:hAnsi="宋体"/>
          <w:sz w:val="28"/>
          <w:szCs w:val="28"/>
        </w:rPr>
      </w:pPr>
      <w:r>
        <w:rPr>
          <w:rFonts w:hint="eastAsia" w:ascii="宋体" w:hAnsi="宋体"/>
          <w:sz w:val="28"/>
          <w:szCs w:val="28"/>
        </w:rPr>
        <w:t>交通性主干道为黄围街、陵云街。</w:t>
      </w:r>
    </w:p>
    <w:p w14:paraId="36681799">
      <w:pPr>
        <w:pStyle w:val="5"/>
        <w:spacing w:line="544" w:lineRule="exact"/>
        <w:ind w:firstLine="560"/>
        <w:rPr>
          <w:rFonts w:ascii="宋体" w:hAnsi="宋体"/>
          <w:sz w:val="28"/>
          <w:szCs w:val="28"/>
        </w:rPr>
      </w:pPr>
      <w:r>
        <w:rPr>
          <w:rFonts w:hint="eastAsia" w:ascii="宋体" w:hAnsi="宋体"/>
          <w:sz w:val="28"/>
          <w:szCs w:val="28"/>
        </w:rPr>
        <w:t>主干道道路红线宽度为30～42米，36-42米道路横断面形式为三块板形式，30米道路横断面形式为一块板形式。</w:t>
      </w:r>
    </w:p>
    <w:p w14:paraId="1D088890">
      <w:pPr>
        <w:pStyle w:val="5"/>
        <w:spacing w:line="580" w:lineRule="exact"/>
        <w:ind w:firstLine="560"/>
        <w:rPr>
          <w:rFonts w:ascii="宋体" w:hAnsi="宋体"/>
          <w:sz w:val="28"/>
          <w:szCs w:val="28"/>
        </w:rPr>
      </w:pPr>
      <w:r>
        <w:rPr>
          <w:rFonts w:hint="eastAsia" w:ascii="宋体" w:hAnsi="宋体"/>
          <w:sz w:val="28"/>
          <w:szCs w:val="28"/>
        </w:rPr>
        <w:t>2、次干道系统</w:t>
      </w:r>
    </w:p>
    <w:p w14:paraId="4E3E6C86">
      <w:pPr>
        <w:pStyle w:val="5"/>
        <w:spacing w:line="580" w:lineRule="exact"/>
        <w:ind w:firstLine="560"/>
        <w:rPr>
          <w:rFonts w:ascii="宋体" w:hAnsi="宋体"/>
          <w:sz w:val="28"/>
          <w:szCs w:val="28"/>
        </w:rPr>
      </w:pPr>
      <w:r>
        <w:rPr>
          <w:rFonts w:hint="eastAsia" w:ascii="宋体" w:hAnsi="宋体"/>
          <w:sz w:val="28"/>
          <w:szCs w:val="28"/>
        </w:rPr>
        <w:t>位于各功能区间，起到辅助运输、划分边界和景观过渡的作用。次干道道路红线宽为20～30米，道路断面为一块板形式，人非共板设置。</w:t>
      </w:r>
    </w:p>
    <w:p w14:paraId="4237ABC8">
      <w:pPr>
        <w:pStyle w:val="5"/>
        <w:spacing w:line="580" w:lineRule="exact"/>
        <w:ind w:firstLine="560"/>
        <w:rPr>
          <w:rFonts w:ascii="宋体" w:hAnsi="宋体"/>
          <w:sz w:val="28"/>
          <w:szCs w:val="28"/>
        </w:rPr>
      </w:pPr>
      <w:r>
        <w:rPr>
          <w:rFonts w:ascii="宋体" w:hAnsi="宋体"/>
          <w:sz w:val="28"/>
          <w:szCs w:val="28"/>
        </w:rPr>
        <w:drawing>
          <wp:anchor distT="0" distB="0" distL="114300" distR="114300" simplePos="0" relativeHeight="251670528" behindDoc="0" locked="0" layoutInCell="1" allowOverlap="1">
            <wp:simplePos x="0" y="0"/>
            <wp:positionH relativeFrom="column">
              <wp:posOffset>852170</wp:posOffset>
            </wp:positionH>
            <wp:positionV relativeFrom="paragraph">
              <wp:posOffset>22860</wp:posOffset>
            </wp:positionV>
            <wp:extent cx="3660140" cy="3013710"/>
            <wp:effectExtent l="0" t="0" r="0" b="0"/>
            <wp:wrapNone/>
            <wp:docPr id="2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
                    <pic:cNvPicPr>
                      <a:picLocks noChangeAspect="1" noChangeArrowheads="1"/>
                    </pic:cNvPicPr>
                  </pic:nvPicPr>
                  <pic:blipFill>
                    <a:blip r:embed="rId16" cstate="print"/>
                    <a:srcRect/>
                    <a:stretch>
                      <a:fillRect/>
                    </a:stretch>
                  </pic:blipFill>
                  <pic:spPr>
                    <a:xfrm>
                      <a:off x="0" y="0"/>
                      <a:ext cx="3666119" cy="3018635"/>
                    </a:xfrm>
                    <a:prstGeom prst="rect">
                      <a:avLst/>
                    </a:prstGeom>
                    <a:noFill/>
                    <a:ln w="9525">
                      <a:noFill/>
                      <a:miter lim="800000"/>
                      <a:headEnd/>
                      <a:tailEnd/>
                    </a:ln>
                  </pic:spPr>
                </pic:pic>
              </a:graphicData>
            </a:graphic>
          </wp:anchor>
        </w:drawing>
      </w:r>
    </w:p>
    <w:p w14:paraId="72764633">
      <w:pPr>
        <w:pStyle w:val="5"/>
        <w:spacing w:line="580" w:lineRule="exact"/>
        <w:ind w:firstLine="560"/>
        <w:rPr>
          <w:rFonts w:ascii="宋体" w:hAnsi="宋体"/>
          <w:sz w:val="28"/>
          <w:szCs w:val="28"/>
        </w:rPr>
      </w:pPr>
    </w:p>
    <w:p w14:paraId="63651356">
      <w:pPr>
        <w:pStyle w:val="5"/>
        <w:spacing w:line="580" w:lineRule="exact"/>
        <w:ind w:firstLine="560"/>
        <w:rPr>
          <w:rFonts w:ascii="宋体" w:hAnsi="宋体"/>
          <w:sz w:val="28"/>
          <w:szCs w:val="28"/>
        </w:rPr>
      </w:pPr>
    </w:p>
    <w:p w14:paraId="56EEF82E">
      <w:pPr>
        <w:pStyle w:val="5"/>
        <w:spacing w:line="580" w:lineRule="exact"/>
        <w:ind w:firstLine="560"/>
        <w:rPr>
          <w:rFonts w:ascii="宋体" w:hAnsi="宋体"/>
          <w:sz w:val="28"/>
          <w:szCs w:val="28"/>
        </w:rPr>
      </w:pPr>
    </w:p>
    <w:p w14:paraId="3F842373">
      <w:pPr>
        <w:pStyle w:val="5"/>
        <w:spacing w:line="580" w:lineRule="exact"/>
        <w:ind w:firstLine="560"/>
        <w:rPr>
          <w:rFonts w:ascii="宋体" w:hAnsi="宋体"/>
          <w:sz w:val="28"/>
          <w:szCs w:val="28"/>
        </w:rPr>
      </w:pPr>
    </w:p>
    <w:p w14:paraId="4216DF43">
      <w:pPr>
        <w:pStyle w:val="5"/>
        <w:spacing w:line="580" w:lineRule="exact"/>
        <w:ind w:firstLine="560"/>
        <w:rPr>
          <w:rFonts w:ascii="宋体" w:hAnsi="宋体"/>
          <w:sz w:val="28"/>
          <w:szCs w:val="28"/>
        </w:rPr>
      </w:pPr>
    </w:p>
    <w:p w14:paraId="7ABF670F">
      <w:pPr>
        <w:pStyle w:val="5"/>
        <w:spacing w:line="580" w:lineRule="exact"/>
        <w:ind w:firstLine="560"/>
        <w:rPr>
          <w:rFonts w:ascii="宋体" w:hAnsi="宋体"/>
          <w:sz w:val="28"/>
          <w:szCs w:val="28"/>
        </w:rPr>
      </w:pPr>
    </w:p>
    <w:p w14:paraId="12A7E79D">
      <w:pPr>
        <w:pStyle w:val="5"/>
        <w:spacing w:line="580" w:lineRule="exact"/>
        <w:ind w:firstLine="560"/>
        <w:rPr>
          <w:rFonts w:ascii="宋体" w:hAnsi="宋体"/>
          <w:sz w:val="28"/>
          <w:szCs w:val="28"/>
        </w:rPr>
      </w:pPr>
    </w:p>
    <w:p w14:paraId="7866B34E">
      <w:pPr>
        <w:pStyle w:val="5"/>
        <w:spacing w:line="580" w:lineRule="exact"/>
        <w:ind w:firstLine="560"/>
        <w:rPr>
          <w:rFonts w:ascii="宋体" w:hAnsi="宋体"/>
          <w:sz w:val="28"/>
          <w:szCs w:val="28"/>
        </w:rPr>
      </w:pPr>
      <w:r>
        <w:rPr>
          <w:rFonts w:hint="eastAsia" w:ascii="宋体" w:hAnsi="宋体"/>
          <w:sz w:val="28"/>
          <w:szCs w:val="28"/>
        </w:rPr>
        <w:t>3、支路系统</w:t>
      </w:r>
    </w:p>
    <w:p w14:paraId="20457038">
      <w:pPr>
        <w:pStyle w:val="5"/>
        <w:spacing w:line="580" w:lineRule="exact"/>
        <w:ind w:firstLine="560"/>
        <w:rPr>
          <w:rFonts w:ascii="宋体" w:hAnsi="宋体"/>
          <w:sz w:val="28"/>
          <w:szCs w:val="28"/>
        </w:rPr>
      </w:pPr>
      <w:r>
        <w:rPr>
          <w:rFonts w:hint="eastAsia" w:ascii="宋体" w:hAnsi="宋体"/>
          <w:sz w:val="28"/>
          <w:szCs w:val="28"/>
        </w:rPr>
        <w:t>位于各功能区内部，主要用于地段划分和地块的交通出入。在中心城区中，由于地形和现状，主干道的大部分路段纵坡都在3%以下，而支路的纵坡因为地势走向部分支路纵坡在6%左右，。在设计中，尽可能的保证纵坡坡度在国家规定的标准下，山坡支路尽量顺应地势不要求取直，充分考虑城市、山体的排水等因素进行设计；路面宽度应满足消防，救护等要求，红线宽度为12～20米，道路断面为一块板形式。</w:t>
      </w:r>
    </w:p>
    <w:p w14:paraId="3FF6B24A">
      <w:pPr>
        <w:pStyle w:val="5"/>
        <w:spacing w:line="580" w:lineRule="exact"/>
        <w:ind w:firstLine="560"/>
        <w:rPr>
          <w:rFonts w:ascii="宋体" w:hAnsi="宋体"/>
          <w:sz w:val="28"/>
          <w:szCs w:val="28"/>
        </w:rPr>
      </w:pPr>
      <w:r>
        <w:rPr>
          <w:rFonts w:hint="eastAsia" w:ascii="宋体" w:hAnsi="宋体"/>
          <w:sz w:val="28"/>
          <w:szCs w:val="28"/>
        </w:rPr>
        <w:t>各地块内可根据地块划分的需要设置支路，若现状地块周边没有支路应至少设置一条支路与次干道联系，其布置可根据地块具体情况确定，本规划仅作原则性安排。</w:t>
      </w:r>
    </w:p>
    <w:p w14:paraId="20FB9C67">
      <w:pPr>
        <w:pStyle w:val="5"/>
        <w:spacing w:line="580" w:lineRule="exact"/>
        <w:ind w:firstLine="560"/>
        <w:rPr>
          <w:rFonts w:ascii="宋体" w:hAnsi="宋体"/>
          <w:sz w:val="28"/>
          <w:szCs w:val="28"/>
        </w:rPr>
      </w:pPr>
      <w:r>
        <w:rPr>
          <w:rFonts w:hint="eastAsia" w:ascii="宋体" w:hAnsi="宋体"/>
          <w:sz w:val="28"/>
          <w:szCs w:val="28"/>
        </w:rPr>
        <w:t>所有道路均应按规划的道路断面配置行道树和绿化隔离设施，推广林荫路建设。</w:t>
      </w:r>
    </w:p>
    <w:p w14:paraId="22682B25">
      <w:pPr>
        <w:pStyle w:val="5"/>
        <w:spacing w:line="580" w:lineRule="exact"/>
        <w:ind w:firstLine="560"/>
        <w:rPr>
          <w:rFonts w:ascii="宋体" w:hAnsi="宋体"/>
          <w:sz w:val="28"/>
          <w:szCs w:val="28"/>
        </w:rPr>
      </w:pPr>
      <w:r>
        <w:rPr>
          <w:rFonts w:hint="eastAsia" w:ascii="宋体" w:hAnsi="宋体"/>
          <w:sz w:val="28"/>
          <w:szCs w:val="28"/>
        </w:rPr>
        <w:t>4、步行系统</w:t>
      </w:r>
    </w:p>
    <w:p w14:paraId="728E9CD9">
      <w:pPr>
        <w:pStyle w:val="5"/>
        <w:spacing w:line="580" w:lineRule="exact"/>
        <w:ind w:firstLine="560"/>
        <w:rPr>
          <w:rFonts w:ascii="宋体" w:hAnsi="宋体"/>
          <w:sz w:val="28"/>
          <w:szCs w:val="28"/>
        </w:rPr>
      </w:pPr>
      <w:r>
        <w:rPr>
          <w:rFonts w:hint="eastAsia" w:ascii="宋体" w:hAnsi="宋体"/>
          <w:sz w:val="28"/>
          <w:szCs w:val="28"/>
        </w:rPr>
        <w:t>充分考虑山地小城市的交通需求，通过坡道、台阶等方式建立独立、完整、网络化的步行系统，在组团内起到对各地块的联通作用，也是城市交通的有力补充。在历史街区实线控制三条步行通道，这三条通道不仅是各文物古迹之间的交通联系通道，也是历史建筑之间连续的视线廊道。其余步行道本组团内平衡，在下一层次规划中进行落实。</w:t>
      </w:r>
    </w:p>
    <w:p w14:paraId="72164BCF">
      <w:pPr>
        <w:pStyle w:val="47"/>
        <w:spacing w:line="580" w:lineRule="exact"/>
        <w:ind w:firstLine="0" w:firstLineChars="0"/>
        <w:jc w:val="center"/>
        <w:rPr>
          <w:rFonts w:ascii="黑体" w:hAnsi="黑体"/>
          <w:b/>
        </w:rPr>
      </w:pPr>
      <w:r>
        <w:rPr>
          <w:rFonts w:hint="eastAsia"/>
          <w:b/>
        </w:rPr>
        <w:t>表7  道路系统规划一览表</w:t>
      </w:r>
    </w:p>
    <w:tbl>
      <w:tblPr>
        <w:tblStyle w:val="21"/>
        <w:tblW w:w="9947"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1985"/>
        <w:gridCol w:w="1134"/>
        <w:gridCol w:w="1134"/>
        <w:gridCol w:w="1417"/>
        <w:gridCol w:w="2434"/>
      </w:tblGrid>
      <w:tr w14:paraId="1FAC267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709" w:type="dxa"/>
            <w:vAlign w:val="center"/>
          </w:tcPr>
          <w:p w14:paraId="1E6D7D75">
            <w:pPr>
              <w:pStyle w:val="48"/>
            </w:pPr>
            <w:r>
              <w:rPr>
                <w:rFonts w:hint="eastAsia"/>
              </w:rPr>
              <w:t>道路等级</w:t>
            </w:r>
          </w:p>
        </w:tc>
        <w:tc>
          <w:tcPr>
            <w:tcW w:w="1134" w:type="dxa"/>
            <w:vAlign w:val="center"/>
          </w:tcPr>
          <w:p w14:paraId="235ED9C2">
            <w:pPr>
              <w:pStyle w:val="48"/>
            </w:pPr>
            <w:r>
              <w:rPr>
                <w:rFonts w:hint="eastAsia"/>
              </w:rPr>
              <w:t>道路名称</w:t>
            </w:r>
          </w:p>
        </w:tc>
        <w:tc>
          <w:tcPr>
            <w:tcW w:w="1985" w:type="dxa"/>
            <w:vAlign w:val="center"/>
          </w:tcPr>
          <w:p w14:paraId="0409597C">
            <w:pPr>
              <w:pStyle w:val="48"/>
            </w:pPr>
            <w:r>
              <w:rPr>
                <w:rFonts w:hint="eastAsia"/>
              </w:rPr>
              <w:t>起止点</w:t>
            </w:r>
          </w:p>
        </w:tc>
        <w:tc>
          <w:tcPr>
            <w:tcW w:w="1134" w:type="dxa"/>
          </w:tcPr>
          <w:p w14:paraId="197AD454">
            <w:pPr>
              <w:pStyle w:val="48"/>
            </w:pPr>
            <w:r>
              <w:rPr>
                <w:rFonts w:hint="eastAsia"/>
              </w:rPr>
              <w:t>道路长度（米）</w:t>
            </w:r>
          </w:p>
        </w:tc>
        <w:tc>
          <w:tcPr>
            <w:tcW w:w="1134" w:type="dxa"/>
            <w:vAlign w:val="center"/>
          </w:tcPr>
          <w:p w14:paraId="207FD798">
            <w:pPr>
              <w:pStyle w:val="48"/>
            </w:pPr>
            <w:r>
              <w:rPr>
                <w:rFonts w:hint="eastAsia"/>
              </w:rPr>
              <w:t>红线宽度（米）</w:t>
            </w:r>
          </w:p>
        </w:tc>
        <w:tc>
          <w:tcPr>
            <w:tcW w:w="1417" w:type="dxa"/>
            <w:vAlign w:val="center"/>
          </w:tcPr>
          <w:p w14:paraId="66A5E170">
            <w:pPr>
              <w:pStyle w:val="48"/>
            </w:pPr>
            <w:r>
              <w:rPr>
                <w:rFonts w:hint="eastAsia"/>
              </w:rPr>
              <w:t>机动车道数（双向）</w:t>
            </w:r>
          </w:p>
        </w:tc>
        <w:tc>
          <w:tcPr>
            <w:tcW w:w="2434" w:type="dxa"/>
            <w:vAlign w:val="center"/>
          </w:tcPr>
          <w:p w14:paraId="5ACFFDEA">
            <w:pPr>
              <w:pStyle w:val="48"/>
            </w:pPr>
            <w:r>
              <w:rPr>
                <w:rFonts w:hint="eastAsia"/>
              </w:rPr>
              <w:t>规划断面</w:t>
            </w:r>
          </w:p>
        </w:tc>
      </w:tr>
      <w:tr w14:paraId="0DC6244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restart"/>
            <w:vAlign w:val="center"/>
          </w:tcPr>
          <w:p w14:paraId="3C1509C6">
            <w:pPr>
              <w:pStyle w:val="48"/>
            </w:pPr>
            <w:r>
              <w:rPr>
                <w:rFonts w:hint="eastAsia"/>
              </w:rPr>
              <w:t>主</w:t>
            </w:r>
          </w:p>
          <w:p w14:paraId="668F0267">
            <w:pPr>
              <w:pStyle w:val="48"/>
            </w:pPr>
            <w:r>
              <w:rPr>
                <w:rFonts w:hint="eastAsia"/>
              </w:rPr>
              <w:t>干</w:t>
            </w:r>
          </w:p>
          <w:p w14:paraId="54E90F02">
            <w:pPr>
              <w:pStyle w:val="48"/>
            </w:pPr>
            <w:r>
              <w:rPr>
                <w:rFonts w:hint="eastAsia"/>
              </w:rPr>
              <w:t>路</w:t>
            </w:r>
          </w:p>
        </w:tc>
        <w:tc>
          <w:tcPr>
            <w:tcW w:w="1134" w:type="dxa"/>
            <w:vAlign w:val="center"/>
          </w:tcPr>
          <w:p w14:paraId="6FE03B59">
            <w:pPr>
              <w:pStyle w:val="48"/>
            </w:pPr>
            <w:r>
              <w:rPr>
                <w:rFonts w:hint="eastAsia"/>
              </w:rPr>
              <w:t>陵云街</w:t>
            </w:r>
          </w:p>
        </w:tc>
        <w:tc>
          <w:tcPr>
            <w:tcW w:w="1985" w:type="dxa"/>
            <w:vAlign w:val="center"/>
          </w:tcPr>
          <w:p w14:paraId="245B19B2">
            <w:pPr>
              <w:pStyle w:val="48"/>
            </w:pPr>
            <w:r>
              <w:rPr>
                <w:rFonts w:hint="eastAsia"/>
              </w:rPr>
              <w:t>陵沁线—棋山路</w:t>
            </w:r>
          </w:p>
        </w:tc>
        <w:tc>
          <w:tcPr>
            <w:tcW w:w="1134" w:type="dxa"/>
            <w:vAlign w:val="center"/>
          </w:tcPr>
          <w:p w14:paraId="60127CF5">
            <w:pPr>
              <w:pStyle w:val="48"/>
            </w:pPr>
            <w:r>
              <w:t>2148</w:t>
            </w:r>
          </w:p>
        </w:tc>
        <w:tc>
          <w:tcPr>
            <w:tcW w:w="1134" w:type="dxa"/>
            <w:vAlign w:val="center"/>
          </w:tcPr>
          <w:p w14:paraId="31BD9EAF">
            <w:pPr>
              <w:pStyle w:val="48"/>
            </w:pPr>
            <w:r>
              <w:rPr>
                <w:rFonts w:hint="eastAsia"/>
              </w:rPr>
              <w:t>30</w:t>
            </w:r>
          </w:p>
        </w:tc>
        <w:tc>
          <w:tcPr>
            <w:tcW w:w="1417" w:type="dxa"/>
            <w:vAlign w:val="center"/>
          </w:tcPr>
          <w:p w14:paraId="414960E5">
            <w:pPr>
              <w:pStyle w:val="48"/>
            </w:pPr>
            <w:r>
              <w:rPr>
                <w:rFonts w:hint="eastAsia"/>
              </w:rPr>
              <w:t>4</w:t>
            </w:r>
          </w:p>
        </w:tc>
        <w:tc>
          <w:tcPr>
            <w:tcW w:w="2434" w:type="dxa"/>
            <w:vAlign w:val="center"/>
          </w:tcPr>
          <w:p w14:paraId="2F717809">
            <w:pPr>
              <w:pStyle w:val="48"/>
            </w:pPr>
            <w:r>
              <w:rPr>
                <w:rFonts w:hint="eastAsia"/>
              </w:rPr>
              <w:t>5+2.5+15+2.5+5</w:t>
            </w:r>
          </w:p>
        </w:tc>
      </w:tr>
      <w:tr w14:paraId="5CC8A1D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14F14D87">
            <w:pPr>
              <w:pStyle w:val="48"/>
            </w:pPr>
          </w:p>
        </w:tc>
        <w:tc>
          <w:tcPr>
            <w:tcW w:w="1134" w:type="dxa"/>
            <w:vAlign w:val="center"/>
          </w:tcPr>
          <w:p w14:paraId="596BD405">
            <w:pPr>
              <w:pStyle w:val="48"/>
            </w:pPr>
            <w:r>
              <w:rPr>
                <w:rFonts w:hint="eastAsia"/>
              </w:rPr>
              <w:t>梅园西街</w:t>
            </w:r>
          </w:p>
        </w:tc>
        <w:tc>
          <w:tcPr>
            <w:tcW w:w="1985" w:type="dxa"/>
            <w:vAlign w:val="center"/>
          </w:tcPr>
          <w:p w14:paraId="4A149151">
            <w:pPr>
              <w:pStyle w:val="48"/>
            </w:pPr>
            <w:r>
              <w:rPr>
                <w:rFonts w:hint="eastAsia"/>
              </w:rPr>
              <w:t>陵沁线—望洛路</w:t>
            </w:r>
          </w:p>
        </w:tc>
        <w:tc>
          <w:tcPr>
            <w:tcW w:w="1134" w:type="dxa"/>
            <w:vAlign w:val="center"/>
          </w:tcPr>
          <w:p w14:paraId="644DE5D5">
            <w:pPr>
              <w:pStyle w:val="48"/>
            </w:pPr>
            <w:r>
              <w:rPr>
                <w:rFonts w:hint="eastAsia"/>
              </w:rPr>
              <w:t>1067</w:t>
            </w:r>
          </w:p>
        </w:tc>
        <w:tc>
          <w:tcPr>
            <w:tcW w:w="1134" w:type="dxa"/>
            <w:vAlign w:val="center"/>
          </w:tcPr>
          <w:p w14:paraId="6C84A3AB">
            <w:pPr>
              <w:pStyle w:val="48"/>
            </w:pPr>
            <w:r>
              <w:rPr>
                <w:rFonts w:hint="eastAsia"/>
              </w:rPr>
              <w:t>30</w:t>
            </w:r>
          </w:p>
        </w:tc>
        <w:tc>
          <w:tcPr>
            <w:tcW w:w="1417" w:type="dxa"/>
            <w:vAlign w:val="center"/>
          </w:tcPr>
          <w:p w14:paraId="2C4E3B5C">
            <w:pPr>
              <w:pStyle w:val="48"/>
            </w:pPr>
            <w:r>
              <w:rPr>
                <w:rFonts w:hint="eastAsia"/>
              </w:rPr>
              <w:t>4</w:t>
            </w:r>
          </w:p>
        </w:tc>
        <w:tc>
          <w:tcPr>
            <w:tcW w:w="2434" w:type="dxa"/>
            <w:vAlign w:val="center"/>
          </w:tcPr>
          <w:p w14:paraId="285DFAF4">
            <w:pPr>
              <w:pStyle w:val="48"/>
            </w:pPr>
            <w:r>
              <w:rPr>
                <w:rFonts w:hint="eastAsia"/>
              </w:rPr>
              <w:t>5+2.5+15+2.5+5</w:t>
            </w:r>
          </w:p>
        </w:tc>
      </w:tr>
      <w:tr w14:paraId="537ED27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1B6D0ACA">
            <w:pPr>
              <w:pStyle w:val="48"/>
            </w:pPr>
          </w:p>
        </w:tc>
        <w:tc>
          <w:tcPr>
            <w:tcW w:w="1134" w:type="dxa"/>
            <w:vAlign w:val="center"/>
          </w:tcPr>
          <w:p w14:paraId="7CB6CF2C">
            <w:pPr>
              <w:pStyle w:val="48"/>
            </w:pPr>
            <w:r>
              <w:rPr>
                <w:rFonts w:hint="eastAsia"/>
              </w:rPr>
              <w:t>梅园东街</w:t>
            </w:r>
          </w:p>
        </w:tc>
        <w:tc>
          <w:tcPr>
            <w:tcW w:w="1985" w:type="dxa"/>
            <w:vAlign w:val="center"/>
          </w:tcPr>
          <w:p w14:paraId="679F0DBD">
            <w:pPr>
              <w:pStyle w:val="48"/>
            </w:pPr>
            <w:r>
              <w:rPr>
                <w:rFonts w:hint="eastAsia"/>
              </w:rPr>
              <w:t>望洛路—紫云街</w:t>
            </w:r>
          </w:p>
        </w:tc>
        <w:tc>
          <w:tcPr>
            <w:tcW w:w="1134" w:type="dxa"/>
            <w:vAlign w:val="center"/>
          </w:tcPr>
          <w:p w14:paraId="58ED0B98">
            <w:pPr>
              <w:pStyle w:val="48"/>
            </w:pPr>
            <w:r>
              <w:rPr>
                <w:rFonts w:hint="eastAsia"/>
              </w:rPr>
              <w:t>383</w:t>
            </w:r>
          </w:p>
        </w:tc>
        <w:tc>
          <w:tcPr>
            <w:tcW w:w="1134" w:type="dxa"/>
            <w:vAlign w:val="center"/>
          </w:tcPr>
          <w:p w14:paraId="1D95C2DC">
            <w:pPr>
              <w:pStyle w:val="48"/>
            </w:pPr>
            <w:r>
              <w:rPr>
                <w:rFonts w:hint="eastAsia"/>
              </w:rPr>
              <w:t>30</w:t>
            </w:r>
          </w:p>
        </w:tc>
        <w:tc>
          <w:tcPr>
            <w:tcW w:w="1417" w:type="dxa"/>
            <w:vAlign w:val="center"/>
          </w:tcPr>
          <w:p w14:paraId="4BBA6930">
            <w:pPr>
              <w:pStyle w:val="48"/>
            </w:pPr>
            <w:r>
              <w:rPr>
                <w:rFonts w:hint="eastAsia"/>
              </w:rPr>
              <w:t>4</w:t>
            </w:r>
          </w:p>
        </w:tc>
        <w:tc>
          <w:tcPr>
            <w:tcW w:w="2434" w:type="dxa"/>
            <w:vAlign w:val="center"/>
          </w:tcPr>
          <w:p w14:paraId="40105AD1">
            <w:pPr>
              <w:pStyle w:val="48"/>
            </w:pPr>
            <w:r>
              <w:rPr>
                <w:rFonts w:hint="eastAsia"/>
              </w:rPr>
              <w:t>5+2.5+15+2.5+5</w:t>
            </w:r>
          </w:p>
        </w:tc>
      </w:tr>
      <w:tr w14:paraId="65EF45C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340" w:hRule="atLeast"/>
          <w:jc w:val="center"/>
        </w:trPr>
        <w:tc>
          <w:tcPr>
            <w:tcW w:w="709" w:type="dxa"/>
            <w:vMerge w:val="continue"/>
            <w:vAlign w:val="center"/>
          </w:tcPr>
          <w:p w14:paraId="3EB35622">
            <w:pPr>
              <w:pStyle w:val="48"/>
            </w:pPr>
          </w:p>
        </w:tc>
        <w:tc>
          <w:tcPr>
            <w:tcW w:w="1134" w:type="dxa"/>
            <w:vAlign w:val="center"/>
          </w:tcPr>
          <w:p w14:paraId="15316AB3">
            <w:pPr>
              <w:pStyle w:val="48"/>
            </w:pPr>
            <w:r>
              <w:rPr>
                <w:rFonts w:hint="eastAsia"/>
              </w:rPr>
              <w:t>开云街</w:t>
            </w:r>
          </w:p>
        </w:tc>
        <w:tc>
          <w:tcPr>
            <w:tcW w:w="1985" w:type="dxa"/>
            <w:vAlign w:val="center"/>
          </w:tcPr>
          <w:p w14:paraId="0ADCAEDF">
            <w:pPr>
              <w:pStyle w:val="48"/>
            </w:pPr>
            <w:r>
              <w:rPr>
                <w:rFonts w:hint="eastAsia"/>
              </w:rPr>
              <w:t>紫云街—陵修线</w:t>
            </w:r>
          </w:p>
        </w:tc>
        <w:tc>
          <w:tcPr>
            <w:tcW w:w="1134" w:type="dxa"/>
            <w:vAlign w:val="center"/>
          </w:tcPr>
          <w:p w14:paraId="244142F9">
            <w:pPr>
              <w:pStyle w:val="48"/>
            </w:pPr>
            <w:r>
              <w:t>2743</w:t>
            </w:r>
          </w:p>
        </w:tc>
        <w:tc>
          <w:tcPr>
            <w:tcW w:w="1134" w:type="dxa"/>
            <w:vAlign w:val="center"/>
          </w:tcPr>
          <w:p w14:paraId="0D402518">
            <w:pPr>
              <w:pStyle w:val="48"/>
            </w:pPr>
            <w:r>
              <w:rPr>
                <w:rFonts w:hint="eastAsia"/>
              </w:rPr>
              <w:t>30</w:t>
            </w:r>
          </w:p>
        </w:tc>
        <w:tc>
          <w:tcPr>
            <w:tcW w:w="1417" w:type="dxa"/>
            <w:vAlign w:val="center"/>
          </w:tcPr>
          <w:p w14:paraId="5F9FDDAD">
            <w:pPr>
              <w:pStyle w:val="48"/>
            </w:pPr>
            <w:r>
              <w:rPr>
                <w:rFonts w:hint="eastAsia"/>
              </w:rPr>
              <w:t>4</w:t>
            </w:r>
          </w:p>
        </w:tc>
        <w:tc>
          <w:tcPr>
            <w:tcW w:w="2434" w:type="dxa"/>
            <w:vAlign w:val="center"/>
          </w:tcPr>
          <w:p w14:paraId="04254848">
            <w:pPr>
              <w:pStyle w:val="48"/>
            </w:pPr>
            <w:r>
              <w:rPr>
                <w:rFonts w:hint="eastAsia"/>
              </w:rPr>
              <w:t>5+2.5+15+2.5+5</w:t>
            </w:r>
          </w:p>
        </w:tc>
      </w:tr>
      <w:tr w14:paraId="6005A48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44EDDDE1">
            <w:pPr>
              <w:pStyle w:val="48"/>
            </w:pPr>
          </w:p>
        </w:tc>
        <w:tc>
          <w:tcPr>
            <w:tcW w:w="1134" w:type="dxa"/>
            <w:vAlign w:val="center"/>
          </w:tcPr>
          <w:p w14:paraId="13C1C893">
            <w:pPr>
              <w:pStyle w:val="48"/>
            </w:pPr>
            <w:r>
              <w:rPr>
                <w:rFonts w:hint="eastAsia"/>
              </w:rPr>
              <w:t>黄围西街</w:t>
            </w:r>
          </w:p>
        </w:tc>
        <w:tc>
          <w:tcPr>
            <w:tcW w:w="1985" w:type="dxa"/>
            <w:vAlign w:val="center"/>
          </w:tcPr>
          <w:p w14:paraId="503DD029">
            <w:pPr>
              <w:pStyle w:val="48"/>
            </w:pPr>
            <w:r>
              <w:rPr>
                <w:rFonts w:hint="eastAsia"/>
              </w:rPr>
              <w:t>陵沁线—古陵南路</w:t>
            </w:r>
          </w:p>
        </w:tc>
        <w:tc>
          <w:tcPr>
            <w:tcW w:w="1134" w:type="dxa"/>
            <w:vAlign w:val="center"/>
          </w:tcPr>
          <w:p w14:paraId="17B3A672">
            <w:pPr>
              <w:pStyle w:val="48"/>
            </w:pPr>
            <w:r>
              <w:rPr>
                <w:rFonts w:hint="eastAsia"/>
              </w:rPr>
              <w:t>656</w:t>
            </w:r>
          </w:p>
        </w:tc>
        <w:tc>
          <w:tcPr>
            <w:tcW w:w="1134" w:type="dxa"/>
            <w:vAlign w:val="center"/>
          </w:tcPr>
          <w:p w14:paraId="5A4958C5">
            <w:pPr>
              <w:pStyle w:val="48"/>
            </w:pPr>
            <w:r>
              <w:rPr>
                <w:rFonts w:hint="eastAsia"/>
              </w:rPr>
              <w:t>42</w:t>
            </w:r>
          </w:p>
        </w:tc>
        <w:tc>
          <w:tcPr>
            <w:tcW w:w="1417" w:type="dxa"/>
            <w:vAlign w:val="center"/>
          </w:tcPr>
          <w:p w14:paraId="02D651D6">
            <w:pPr>
              <w:pStyle w:val="48"/>
            </w:pPr>
            <w:r>
              <w:rPr>
                <w:rFonts w:hint="eastAsia"/>
              </w:rPr>
              <w:t>4</w:t>
            </w:r>
          </w:p>
        </w:tc>
        <w:tc>
          <w:tcPr>
            <w:tcW w:w="2434" w:type="dxa"/>
            <w:vAlign w:val="center"/>
          </w:tcPr>
          <w:p w14:paraId="4DE037DE">
            <w:pPr>
              <w:pStyle w:val="48"/>
            </w:pPr>
            <w:r>
              <w:rPr>
                <w:rFonts w:hint="eastAsia"/>
              </w:rPr>
              <w:t>6+6+1.5+15+1.5+6+6</w:t>
            </w:r>
          </w:p>
        </w:tc>
      </w:tr>
      <w:tr w14:paraId="0DA9D0B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340" w:hRule="atLeast"/>
          <w:jc w:val="center"/>
        </w:trPr>
        <w:tc>
          <w:tcPr>
            <w:tcW w:w="709" w:type="dxa"/>
            <w:vMerge w:val="continue"/>
            <w:vAlign w:val="center"/>
          </w:tcPr>
          <w:p w14:paraId="626D93D2">
            <w:pPr>
              <w:pStyle w:val="48"/>
            </w:pPr>
          </w:p>
        </w:tc>
        <w:tc>
          <w:tcPr>
            <w:tcW w:w="1134" w:type="dxa"/>
            <w:vAlign w:val="center"/>
          </w:tcPr>
          <w:p w14:paraId="43C120F3">
            <w:pPr>
              <w:pStyle w:val="48"/>
            </w:pPr>
            <w:r>
              <w:rPr>
                <w:rFonts w:hint="eastAsia"/>
              </w:rPr>
              <w:t>黄围东街</w:t>
            </w:r>
          </w:p>
        </w:tc>
        <w:tc>
          <w:tcPr>
            <w:tcW w:w="1985" w:type="dxa"/>
            <w:vAlign w:val="center"/>
          </w:tcPr>
          <w:p w14:paraId="70325C38">
            <w:pPr>
              <w:pStyle w:val="48"/>
            </w:pPr>
            <w:r>
              <w:rPr>
                <w:rFonts w:hint="eastAsia"/>
              </w:rPr>
              <w:t>古陵南路—陵修线</w:t>
            </w:r>
          </w:p>
        </w:tc>
        <w:tc>
          <w:tcPr>
            <w:tcW w:w="1134" w:type="dxa"/>
            <w:vAlign w:val="center"/>
          </w:tcPr>
          <w:p w14:paraId="2C68A93F">
            <w:pPr>
              <w:pStyle w:val="48"/>
            </w:pPr>
            <w:r>
              <w:t>2996</w:t>
            </w:r>
          </w:p>
        </w:tc>
        <w:tc>
          <w:tcPr>
            <w:tcW w:w="1134" w:type="dxa"/>
            <w:vAlign w:val="center"/>
          </w:tcPr>
          <w:p w14:paraId="0BEDBF9D">
            <w:pPr>
              <w:pStyle w:val="48"/>
            </w:pPr>
            <w:r>
              <w:rPr>
                <w:rFonts w:hint="eastAsia"/>
              </w:rPr>
              <w:t>42</w:t>
            </w:r>
          </w:p>
        </w:tc>
        <w:tc>
          <w:tcPr>
            <w:tcW w:w="1417" w:type="dxa"/>
            <w:vAlign w:val="center"/>
          </w:tcPr>
          <w:p w14:paraId="4C184DFB">
            <w:pPr>
              <w:pStyle w:val="48"/>
            </w:pPr>
            <w:r>
              <w:rPr>
                <w:rFonts w:hint="eastAsia"/>
              </w:rPr>
              <w:t>4</w:t>
            </w:r>
          </w:p>
        </w:tc>
        <w:tc>
          <w:tcPr>
            <w:tcW w:w="2434" w:type="dxa"/>
            <w:vAlign w:val="center"/>
          </w:tcPr>
          <w:p w14:paraId="0CBD7989">
            <w:pPr>
              <w:pStyle w:val="48"/>
            </w:pPr>
            <w:r>
              <w:rPr>
                <w:rFonts w:hint="eastAsia"/>
              </w:rPr>
              <w:t>6+6+1.5+15+1.5+6+6</w:t>
            </w:r>
          </w:p>
        </w:tc>
      </w:tr>
      <w:tr w14:paraId="31DDB34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2912BC8E">
            <w:pPr>
              <w:pStyle w:val="48"/>
            </w:pPr>
          </w:p>
        </w:tc>
        <w:tc>
          <w:tcPr>
            <w:tcW w:w="1134" w:type="dxa"/>
            <w:vAlign w:val="center"/>
          </w:tcPr>
          <w:p w14:paraId="7F96C25C">
            <w:pPr>
              <w:pStyle w:val="48"/>
            </w:pPr>
            <w:r>
              <w:rPr>
                <w:rFonts w:hint="eastAsia"/>
              </w:rPr>
              <w:t>望洛路</w:t>
            </w:r>
          </w:p>
        </w:tc>
        <w:tc>
          <w:tcPr>
            <w:tcW w:w="1985" w:type="dxa"/>
            <w:vAlign w:val="center"/>
          </w:tcPr>
          <w:p w14:paraId="4AD6C7A8">
            <w:pPr>
              <w:pStyle w:val="48"/>
            </w:pPr>
            <w:r>
              <w:rPr>
                <w:rFonts w:hint="eastAsia"/>
              </w:rPr>
              <w:t>陵沁线—海口巷</w:t>
            </w:r>
          </w:p>
        </w:tc>
        <w:tc>
          <w:tcPr>
            <w:tcW w:w="1134" w:type="dxa"/>
            <w:vAlign w:val="center"/>
          </w:tcPr>
          <w:p w14:paraId="09894CE5">
            <w:pPr>
              <w:pStyle w:val="48"/>
            </w:pPr>
            <w:r>
              <w:rPr>
                <w:rFonts w:hint="eastAsia"/>
              </w:rPr>
              <w:t>3187</w:t>
            </w:r>
          </w:p>
        </w:tc>
        <w:tc>
          <w:tcPr>
            <w:tcW w:w="1134" w:type="dxa"/>
            <w:vAlign w:val="center"/>
          </w:tcPr>
          <w:p w14:paraId="5E103F46">
            <w:pPr>
              <w:pStyle w:val="48"/>
            </w:pPr>
            <w:r>
              <w:rPr>
                <w:rFonts w:hint="eastAsia"/>
              </w:rPr>
              <w:t>30</w:t>
            </w:r>
          </w:p>
        </w:tc>
        <w:tc>
          <w:tcPr>
            <w:tcW w:w="1417" w:type="dxa"/>
            <w:vAlign w:val="center"/>
          </w:tcPr>
          <w:p w14:paraId="01821ABC">
            <w:pPr>
              <w:pStyle w:val="48"/>
            </w:pPr>
            <w:r>
              <w:rPr>
                <w:rFonts w:hint="eastAsia"/>
              </w:rPr>
              <w:t>4</w:t>
            </w:r>
          </w:p>
        </w:tc>
        <w:tc>
          <w:tcPr>
            <w:tcW w:w="2434" w:type="dxa"/>
            <w:vAlign w:val="center"/>
          </w:tcPr>
          <w:p w14:paraId="3D9EC6D9">
            <w:pPr>
              <w:pStyle w:val="48"/>
            </w:pPr>
            <w:r>
              <w:rPr>
                <w:rFonts w:hint="eastAsia"/>
              </w:rPr>
              <w:t>5+2.5+15+2.5+5</w:t>
            </w:r>
          </w:p>
        </w:tc>
      </w:tr>
      <w:tr w14:paraId="589FA38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1D806745">
            <w:pPr>
              <w:pStyle w:val="48"/>
            </w:pPr>
          </w:p>
        </w:tc>
        <w:tc>
          <w:tcPr>
            <w:tcW w:w="1134" w:type="dxa"/>
            <w:vAlign w:val="center"/>
          </w:tcPr>
          <w:p w14:paraId="79E4C45B">
            <w:pPr>
              <w:pStyle w:val="48"/>
            </w:pPr>
            <w:r>
              <w:rPr>
                <w:rFonts w:hint="eastAsia"/>
              </w:rPr>
              <w:t>古陵南路</w:t>
            </w:r>
          </w:p>
        </w:tc>
        <w:tc>
          <w:tcPr>
            <w:tcW w:w="1985" w:type="dxa"/>
            <w:vAlign w:val="center"/>
          </w:tcPr>
          <w:p w14:paraId="5E0114F7">
            <w:pPr>
              <w:pStyle w:val="48"/>
            </w:pPr>
            <w:r>
              <w:rPr>
                <w:rFonts w:hint="eastAsia"/>
              </w:rPr>
              <w:t>海口巷—望川街</w:t>
            </w:r>
          </w:p>
        </w:tc>
        <w:tc>
          <w:tcPr>
            <w:tcW w:w="1134" w:type="dxa"/>
            <w:vAlign w:val="center"/>
          </w:tcPr>
          <w:p w14:paraId="6B87AE84">
            <w:pPr>
              <w:pStyle w:val="48"/>
            </w:pPr>
            <w:r>
              <w:rPr>
                <w:rFonts w:hint="eastAsia"/>
              </w:rPr>
              <w:t>1712</w:t>
            </w:r>
          </w:p>
        </w:tc>
        <w:tc>
          <w:tcPr>
            <w:tcW w:w="1134" w:type="dxa"/>
            <w:vAlign w:val="center"/>
          </w:tcPr>
          <w:p w14:paraId="77E21F7A">
            <w:pPr>
              <w:pStyle w:val="48"/>
            </w:pPr>
            <w:r>
              <w:rPr>
                <w:rFonts w:hint="eastAsia"/>
              </w:rPr>
              <w:t>40</w:t>
            </w:r>
          </w:p>
        </w:tc>
        <w:tc>
          <w:tcPr>
            <w:tcW w:w="1417" w:type="dxa"/>
            <w:vAlign w:val="center"/>
          </w:tcPr>
          <w:p w14:paraId="13CB2DFE">
            <w:pPr>
              <w:pStyle w:val="48"/>
            </w:pPr>
            <w:r>
              <w:rPr>
                <w:rFonts w:hint="eastAsia"/>
              </w:rPr>
              <w:t>4</w:t>
            </w:r>
          </w:p>
        </w:tc>
        <w:tc>
          <w:tcPr>
            <w:tcW w:w="2434" w:type="dxa"/>
            <w:vAlign w:val="center"/>
          </w:tcPr>
          <w:p w14:paraId="26F4BC8B">
            <w:pPr>
              <w:pStyle w:val="48"/>
            </w:pPr>
            <w:r>
              <w:rPr>
                <w:rFonts w:hint="eastAsia"/>
              </w:rPr>
              <w:t>6+5+2+14+2+5+6</w:t>
            </w:r>
          </w:p>
        </w:tc>
      </w:tr>
      <w:tr w14:paraId="4E1B2A5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restart"/>
            <w:vAlign w:val="center"/>
          </w:tcPr>
          <w:p w14:paraId="0EA95C8C">
            <w:pPr>
              <w:pStyle w:val="48"/>
            </w:pPr>
            <w:r>
              <w:rPr>
                <w:rFonts w:hint="eastAsia"/>
              </w:rPr>
              <w:t>次</w:t>
            </w:r>
          </w:p>
          <w:p w14:paraId="758D0675">
            <w:pPr>
              <w:pStyle w:val="48"/>
            </w:pPr>
            <w:r>
              <w:rPr>
                <w:rFonts w:hint="eastAsia"/>
              </w:rPr>
              <w:t>干</w:t>
            </w:r>
          </w:p>
          <w:p w14:paraId="5EB04A0C">
            <w:pPr>
              <w:pStyle w:val="48"/>
            </w:pPr>
            <w:r>
              <w:rPr>
                <w:rFonts w:hint="eastAsia"/>
              </w:rPr>
              <w:t>路</w:t>
            </w:r>
          </w:p>
        </w:tc>
        <w:tc>
          <w:tcPr>
            <w:tcW w:w="1134" w:type="dxa"/>
            <w:vAlign w:val="center"/>
          </w:tcPr>
          <w:p w14:paraId="30CBAC7A">
            <w:pPr>
              <w:pStyle w:val="48"/>
            </w:pPr>
            <w:r>
              <w:rPr>
                <w:rFonts w:hint="eastAsia"/>
              </w:rPr>
              <w:t>南坪街</w:t>
            </w:r>
          </w:p>
        </w:tc>
        <w:tc>
          <w:tcPr>
            <w:tcW w:w="1985" w:type="dxa"/>
            <w:vAlign w:val="center"/>
          </w:tcPr>
          <w:p w14:paraId="6EC720E4">
            <w:pPr>
              <w:pStyle w:val="48"/>
            </w:pPr>
            <w:r>
              <w:rPr>
                <w:rFonts w:hint="eastAsia"/>
              </w:rPr>
              <w:t>陵沁线—育才街</w:t>
            </w:r>
          </w:p>
        </w:tc>
        <w:tc>
          <w:tcPr>
            <w:tcW w:w="1134" w:type="dxa"/>
            <w:vAlign w:val="center"/>
          </w:tcPr>
          <w:p w14:paraId="4D20F260">
            <w:pPr>
              <w:pStyle w:val="48"/>
            </w:pPr>
            <w:r>
              <w:t>1426</w:t>
            </w:r>
          </w:p>
        </w:tc>
        <w:tc>
          <w:tcPr>
            <w:tcW w:w="1134" w:type="dxa"/>
            <w:vAlign w:val="center"/>
          </w:tcPr>
          <w:p w14:paraId="4796E582">
            <w:pPr>
              <w:pStyle w:val="48"/>
            </w:pPr>
            <w:r>
              <w:rPr>
                <w:rFonts w:hint="eastAsia"/>
              </w:rPr>
              <w:t>24</w:t>
            </w:r>
          </w:p>
        </w:tc>
        <w:tc>
          <w:tcPr>
            <w:tcW w:w="1417" w:type="dxa"/>
            <w:vAlign w:val="center"/>
          </w:tcPr>
          <w:p w14:paraId="6220A9B4">
            <w:pPr>
              <w:pStyle w:val="48"/>
            </w:pPr>
            <w:r>
              <w:rPr>
                <w:rFonts w:hint="eastAsia"/>
              </w:rPr>
              <w:t>4</w:t>
            </w:r>
          </w:p>
        </w:tc>
        <w:tc>
          <w:tcPr>
            <w:tcW w:w="2434" w:type="dxa"/>
            <w:vAlign w:val="center"/>
          </w:tcPr>
          <w:p w14:paraId="493E8126">
            <w:pPr>
              <w:pStyle w:val="48"/>
            </w:pPr>
            <w:r>
              <w:rPr>
                <w:rFonts w:hint="eastAsia"/>
              </w:rPr>
              <w:t>5+14+5</w:t>
            </w:r>
          </w:p>
        </w:tc>
      </w:tr>
      <w:tr w14:paraId="3DDB7E4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65D1BD60">
            <w:pPr>
              <w:pStyle w:val="48"/>
            </w:pPr>
          </w:p>
        </w:tc>
        <w:tc>
          <w:tcPr>
            <w:tcW w:w="1134" w:type="dxa"/>
            <w:vAlign w:val="center"/>
          </w:tcPr>
          <w:p w14:paraId="7FF709E6">
            <w:pPr>
              <w:pStyle w:val="48"/>
            </w:pPr>
            <w:r>
              <w:rPr>
                <w:rFonts w:hint="eastAsia"/>
              </w:rPr>
              <w:t>崇安西街</w:t>
            </w:r>
          </w:p>
        </w:tc>
        <w:tc>
          <w:tcPr>
            <w:tcW w:w="1985" w:type="dxa"/>
            <w:vAlign w:val="center"/>
          </w:tcPr>
          <w:p w14:paraId="6D257811">
            <w:pPr>
              <w:pStyle w:val="48"/>
            </w:pPr>
            <w:r>
              <w:rPr>
                <w:rFonts w:hint="eastAsia"/>
              </w:rPr>
              <w:t>陵沁线—康复路</w:t>
            </w:r>
          </w:p>
        </w:tc>
        <w:tc>
          <w:tcPr>
            <w:tcW w:w="1134" w:type="dxa"/>
            <w:vAlign w:val="center"/>
          </w:tcPr>
          <w:p w14:paraId="308974DA">
            <w:pPr>
              <w:pStyle w:val="48"/>
            </w:pPr>
            <w:r>
              <w:rPr>
                <w:rFonts w:hint="eastAsia"/>
              </w:rPr>
              <w:t>1373</w:t>
            </w:r>
          </w:p>
        </w:tc>
        <w:tc>
          <w:tcPr>
            <w:tcW w:w="1134" w:type="dxa"/>
            <w:vAlign w:val="center"/>
          </w:tcPr>
          <w:p w14:paraId="6947B76F">
            <w:pPr>
              <w:pStyle w:val="48"/>
            </w:pPr>
            <w:r>
              <w:rPr>
                <w:rFonts w:hint="eastAsia"/>
              </w:rPr>
              <w:t>24</w:t>
            </w:r>
          </w:p>
        </w:tc>
        <w:tc>
          <w:tcPr>
            <w:tcW w:w="1417" w:type="dxa"/>
            <w:vAlign w:val="center"/>
          </w:tcPr>
          <w:p w14:paraId="1AAFCE78">
            <w:pPr>
              <w:pStyle w:val="48"/>
            </w:pPr>
            <w:r>
              <w:rPr>
                <w:rFonts w:hint="eastAsia"/>
              </w:rPr>
              <w:t>4</w:t>
            </w:r>
          </w:p>
        </w:tc>
        <w:tc>
          <w:tcPr>
            <w:tcW w:w="2434" w:type="dxa"/>
            <w:vAlign w:val="center"/>
          </w:tcPr>
          <w:p w14:paraId="60C1DDC4">
            <w:pPr>
              <w:pStyle w:val="48"/>
            </w:pPr>
            <w:r>
              <w:rPr>
                <w:rFonts w:hint="eastAsia"/>
              </w:rPr>
              <w:t>5+14+5</w:t>
            </w:r>
          </w:p>
        </w:tc>
      </w:tr>
      <w:tr w14:paraId="741A552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200BA203">
            <w:pPr>
              <w:pStyle w:val="48"/>
            </w:pPr>
          </w:p>
        </w:tc>
        <w:tc>
          <w:tcPr>
            <w:tcW w:w="1134" w:type="dxa"/>
            <w:vAlign w:val="center"/>
          </w:tcPr>
          <w:p w14:paraId="73824067">
            <w:pPr>
              <w:pStyle w:val="48"/>
            </w:pPr>
            <w:r>
              <w:rPr>
                <w:rFonts w:hint="eastAsia"/>
              </w:rPr>
              <w:t>崇安东街</w:t>
            </w:r>
          </w:p>
        </w:tc>
        <w:tc>
          <w:tcPr>
            <w:tcW w:w="1985" w:type="dxa"/>
            <w:vAlign w:val="center"/>
          </w:tcPr>
          <w:p w14:paraId="2CE1BD83">
            <w:pPr>
              <w:pStyle w:val="48"/>
            </w:pPr>
            <w:r>
              <w:rPr>
                <w:rFonts w:hint="eastAsia"/>
              </w:rPr>
              <w:t>康复路—棋山路</w:t>
            </w:r>
          </w:p>
        </w:tc>
        <w:tc>
          <w:tcPr>
            <w:tcW w:w="1134" w:type="dxa"/>
            <w:vAlign w:val="center"/>
          </w:tcPr>
          <w:p w14:paraId="56D4E6A5">
            <w:pPr>
              <w:pStyle w:val="48"/>
            </w:pPr>
            <w:r>
              <w:rPr>
                <w:rFonts w:hint="eastAsia"/>
              </w:rPr>
              <w:t>1459</w:t>
            </w:r>
          </w:p>
        </w:tc>
        <w:tc>
          <w:tcPr>
            <w:tcW w:w="1134" w:type="dxa"/>
            <w:vAlign w:val="center"/>
          </w:tcPr>
          <w:p w14:paraId="79B840D5">
            <w:pPr>
              <w:pStyle w:val="48"/>
            </w:pPr>
            <w:r>
              <w:rPr>
                <w:rFonts w:hint="eastAsia"/>
              </w:rPr>
              <w:t>24</w:t>
            </w:r>
          </w:p>
        </w:tc>
        <w:tc>
          <w:tcPr>
            <w:tcW w:w="1417" w:type="dxa"/>
            <w:vAlign w:val="center"/>
          </w:tcPr>
          <w:p w14:paraId="2391B98E">
            <w:pPr>
              <w:pStyle w:val="48"/>
            </w:pPr>
            <w:r>
              <w:rPr>
                <w:rFonts w:hint="eastAsia"/>
              </w:rPr>
              <w:t>4</w:t>
            </w:r>
          </w:p>
        </w:tc>
        <w:tc>
          <w:tcPr>
            <w:tcW w:w="2434" w:type="dxa"/>
            <w:vAlign w:val="center"/>
          </w:tcPr>
          <w:p w14:paraId="46F1AFB6">
            <w:pPr>
              <w:pStyle w:val="48"/>
            </w:pPr>
            <w:r>
              <w:rPr>
                <w:rFonts w:hint="eastAsia"/>
              </w:rPr>
              <w:t>5+14+5</w:t>
            </w:r>
          </w:p>
        </w:tc>
      </w:tr>
      <w:tr w14:paraId="2B7E813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3F5B23C5">
            <w:pPr>
              <w:pStyle w:val="48"/>
            </w:pPr>
          </w:p>
        </w:tc>
        <w:tc>
          <w:tcPr>
            <w:tcW w:w="1134" w:type="dxa"/>
            <w:vAlign w:val="center"/>
          </w:tcPr>
          <w:p w14:paraId="04F289AE">
            <w:pPr>
              <w:pStyle w:val="48"/>
            </w:pPr>
            <w:r>
              <w:rPr>
                <w:rFonts w:hint="eastAsia"/>
              </w:rPr>
              <w:t>南岭街</w:t>
            </w:r>
          </w:p>
        </w:tc>
        <w:tc>
          <w:tcPr>
            <w:tcW w:w="1985" w:type="dxa"/>
            <w:vAlign w:val="center"/>
          </w:tcPr>
          <w:p w14:paraId="413924DE">
            <w:pPr>
              <w:pStyle w:val="48"/>
            </w:pPr>
            <w:r>
              <w:rPr>
                <w:rFonts w:hint="eastAsia"/>
              </w:rPr>
              <w:t>陵沁线—望川街</w:t>
            </w:r>
          </w:p>
        </w:tc>
        <w:tc>
          <w:tcPr>
            <w:tcW w:w="1134" w:type="dxa"/>
            <w:vAlign w:val="center"/>
          </w:tcPr>
          <w:p w14:paraId="6668724C">
            <w:pPr>
              <w:pStyle w:val="48"/>
            </w:pPr>
            <w:r>
              <w:t>3177</w:t>
            </w:r>
          </w:p>
        </w:tc>
        <w:tc>
          <w:tcPr>
            <w:tcW w:w="1134" w:type="dxa"/>
            <w:vAlign w:val="center"/>
          </w:tcPr>
          <w:p w14:paraId="6120F5A6">
            <w:pPr>
              <w:pStyle w:val="48"/>
            </w:pPr>
            <w:r>
              <w:rPr>
                <w:rFonts w:hint="eastAsia"/>
              </w:rPr>
              <w:t>24</w:t>
            </w:r>
          </w:p>
        </w:tc>
        <w:tc>
          <w:tcPr>
            <w:tcW w:w="1417" w:type="dxa"/>
            <w:vAlign w:val="center"/>
          </w:tcPr>
          <w:p w14:paraId="6B68E1CF">
            <w:pPr>
              <w:pStyle w:val="48"/>
            </w:pPr>
            <w:r>
              <w:rPr>
                <w:rFonts w:hint="eastAsia"/>
              </w:rPr>
              <w:t>4</w:t>
            </w:r>
          </w:p>
        </w:tc>
        <w:tc>
          <w:tcPr>
            <w:tcW w:w="2434" w:type="dxa"/>
            <w:vAlign w:val="center"/>
          </w:tcPr>
          <w:p w14:paraId="4118975B">
            <w:pPr>
              <w:pStyle w:val="48"/>
            </w:pPr>
            <w:r>
              <w:rPr>
                <w:rFonts w:hint="eastAsia"/>
              </w:rPr>
              <w:t>5+14+5</w:t>
            </w:r>
          </w:p>
        </w:tc>
      </w:tr>
      <w:tr w14:paraId="26B8B3C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4F5FF822">
            <w:pPr>
              <w:pStyle w:val="48"/>
            </w:pPr>
          </w:p>
        </w:tc>
        <w:tc>
          <w:tcPr>
            <w:tcW w:w="1134" w:type="dxa"/>
            <w:vAlign w:val="center"/>
          </w:tcPr>
          <w:p w14:paraId="50A52497">
            <w:pPr>
              <w:pStyle w:val="48"/>
            </w:pPr>
            <w:r>
              <w:rPr>
                <w:rFonts w:hint="eastAsia"/>
              </w:rPr>
              <w:t>回龙街</w:t>
            </w:r>
          </w:p>
        </w:tc>
        <w:tc>
          <w:tcPr>
            <w:tcW w:w="1985" w:type="dxa"/>
            <w:vAlign w:val="center"/>
          </w:tcPr>
          <w:p w14:paraId="363715D7">
            <w:pPr>
              <w:pStyle w:val="48"/>
            </w:pPr>
            <w:r>
              <w:rPr>
                <w:rFonts w:hint="eastAsia"/>
              </w:rPr>
              <w:t>黄围街—望川街</w:t>
            </w:r>
          </w:p>
        </w:tc>
        <w:tc>
          <w:tcPr>
            <w:tcW w:w="1134" w:type="dxa"/>
            <w:vAlign w:val="center"/>
          </w:tcPr>
          <w:p w14:paraId="71E8CBDA">
            <w:pPr>
              <w:pStyle w:val="48"/>
            </w:pPr>
            <w:r>
              <w:t>2009</w:t>
            </w:r>
          </w:p>
        </w:tc>
        <w:tc>
          <w:tcPr>
            <w:tcW w:w="1134" w:type="dxa"/>
            <w:vAlign w:val="center"/>
          </w:tcPr>
          <w:p w14:paraId="31E50784">
            <w:pPr>
              <w:pStyle w:val="48"/>
            </w:pPr>
            <w:r>
              <w:rPr>
                <w:rFonts w:hint="eastAsia"/>
              </w:rPr>
              <w:t>36</w:t>
            </w:r>
          </w:p>
        </w:tc>
        <w:tc>
          <w:tcPr>
            <w:tcW w:w="1417" w:type="dxa"/>
            <w:vAlign w:val="center"/>
          </w:tcPr>
          <w:p w14:paraId="315DB454">
            <w:pPr>
              <w:pStyle w:val="48"/>
            </w:pPr>
            <w:r>
              <w:rPr>
                <w:rFonts w:hint="eastAsia"/>
              </w:rPr>
              <w:t>4</w:t>
            </w:r>
          </w:p>
        </w:tc>
        <w:tc>
          <w:tcPr>
            <w:tcW w:w="2434" w:type="dxa"/>
            <w:vAlign w:val="center"/>
          </w:tcPr>
          <w:p w14:paraId="28D021AA">
            <w:pPr>
              <w:pStyle w:val="48"/>
            </w:pPr>
            <w:r>
              <w:rPr>
                <w:rFonts w:hint="eastAsia"/>
              </w:rPr>
              <w:t>4.5+5+1+15+1+5+4.5</w:t>
            </w:r>
          </w:p>
        </w:tc>
      </w:tr>
      <w:tr w14:paraId="7746A3B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377437EA">
            <w:pPr>
              <w:pStyle w:val="48"/>
            </w:pPr>
          </w:p>
        </w:tc>
        <w:tc>
          <w:tcPr>
            <w:tcW w:w="1134" w:type="dxa"/>
            <w:vAlign w:val="center"/>
          </w:tcPr>
          <w:p w14:paraId="1ED86A9D">
            <w:pPr>
              <w:pStyle w:val="48"/>
            </w:pPr>
            <w:r>
              <w:rPr>
                <w:rFonts w:hint="eastAsia"/>
              </w:rPr>
              <w:t>育才街</w:t>
            </w:r>
          </w:p>
        </w:tc>
        <w:tc>
          <w:tcPr>
            <w:tcW w:w="1985" w:type="dxa"/>
            <w:vAlign w:val="center"/>
          </w:tcPr>
          <w:p w14:paraId="5C50D76D">
            <w:pPr>
              <w:pStyle w:val="48"/>
            </w:pPr>
            <w:r>
              <w:rPr>
                <w:rFonts w:hint="eastAsia"/>
              </w:rPr>
              <w:t>北环路—陵沁线</w:t>
            </w:r>
          </w:p>
        </w:tc>
        <w:tc>
          <w:tcPr>
            <w:tcW w:w="1134" w:type="dxa"/>
            <w:vAlign w:val="center"/>
          </w:tcPr>
          <w:p w14:paraId="2BCFFB61">
            <w:pPr>
              <w:pStyle w:val="48"/>
            </w:pPr>
            <w:r>
              <w:t>4421</w:t>
            </w:r>
          </w:p>
        </w:tc>
        <w:tc>
          <w:tcPr>
            <w:tcW w:w="1134" w:type="dxa"/>
            <w:vAlign w:val="center"/>
          </w:tcPr>
          <w:p w14:paraId="222A0DDF">
            <w:pPr>
              <w:pStyle w:val="48"/>
            </w:pPr>
            <w:r>
              <w:rPr>
                <w:rFonts w:hint="eastAsia"/>
              </w:rPr>
              <w:t>26</w:t>
            </w:r>
          </w:p>
        </w:tc>
        <w:tc>
          <w:tcPr>
            <w:tcW w:w="1417" w:type="dxa"/>
            <w:vAlign w:val="center"/>
          </w:tcPr>
          <w:p w14:paraId="6C4B99FB">
            <w:pPr>
              <w:pStyle w:val="48"/>
            </w:pPr>
            <w:r>
              <w:rPr>
                <w:rFonts w:hint="eastAsia"/>
              </w:rPr>
              <w:t>4</w:t>
            </w:r>
          </w:p>
        </w:tc>
        <w:tc>
          <w:tcPr>
            <w:tcW w:w="2434" w:type="dxa"/>
            <w:vAlign w:val="center"/>
          </w:tcPr>
          <w:p w14:paraId="4B30098F">
            <w:pPr>
              <w:pStyle w:val="48"/>
            </w:pPr>
            <w:r>
              <w:rPr>
                <w:rFonts w:hint="eastAsia"/>
              </w:rPr>
              <w:t>5.5+15+5.5</w:t>
            </w:r>
          </w:p>
        </w:tc>
      </w:tr>
      <w:tr w14:paraId="2355D2E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30194EC3">
            <w:pPr>
              <w:pStyle w:val="48"/>
            </w:pPr>
          </w:p>
        </w:tc>
        <w:tc>
          <w:tcPr>
            <w:tcW w:w="1134" w:type="dxa"/>
            <w:vAlign w:val="center"/>
          </w:tcPr>
          <w:p w14:paraId="12AEE9B7">
            <w:pPr>
              <w:pStyle w:val="48"/>
            </w:pPr>
            <w:r>
              <w:rPr>
                <w:rFonts w:hint="eastAsia"/>
              </w:rPr>
              <w:t>紫云街</w:t>
            </w:r>
          </w:p>
        </w:tc>
        <w:tc>
          <w:tcPr>
            <w:tcW w:w="1985" w:type="dxa"/>
            <w:vAlign w:val="center"/>
          </w:tcPr>
          <w:p w14:paraId="365C5E40">
            <w:pPr>
              <w:pStyle w:val="48"/>
            </w:pPr>
            <w:r>
              <w:rPr>
                <w:rFonts w:hint="eastAsia"/>
              </w:rPr>
              <w:t>陵沁线—棋山路</w:t>
            </w:r>
          </w:p>
        </w:tc>
        <w:tc>
          <w:tcPr>
            <w:tcW w:w="1134" w:type="dxa"/>
            <w:vAlign w:val="center"/>
          </w:tcPr>
          <w:p w14:paraId="27772C8C">
            <w:pPr>
              <w:pStyle w:val="48"/>
            </w:pPr>
            <w:r>
              <w:t>3096</w:t>
            </w:r>
          </w:p>
        </w:tc>
        <w:tc>
          <w:tcPr>
            <w:tcW w:w="1134" w:type="dxa"/>
            <w:vAlign w:val="center"/>
          </w:tcPr>
          <w:p w14:paraId="67E95A02">
            <w:pPr>
              <w:pStyle w:val="48"/>
            </w:pPr>
            <w:r>
              <w:rPr>
                <w:rFonts w:hint="eastAsia"/>
              </w:rPr>
              <w:t>20</w:t>
            </w:r>
          </w:p>
        </w:tc>
        <w:tc>
          <w:tcPr>
            <w:tcW w:w="1417" w:type="dxa"/>
            <w:vAlign w:val="center"/>
          </w:tcPr>
          <w:p w14:paraId="0FE2F0D0">
            <w:pPr>
              <w:pStyle w:val="48"/>
            </w:pPr>
            <w:r>
              <w:rPr>
                <w:rFonts w:hint="eastAsia"/>
              </w:rPr>
              <w:t>4</w:t>
            </w:r>
          </w:p>
        </w:tc>
        <w:tc>
          <w:tcPr>
            <w:tcW w:w="2434" w:type="dxa"/>
            <w:vAlign w:val="center"/>
          </w:tcPr>
          <w:p w14:paraId="5E28F7C8">
            <w:pPr>
              <w:pStyle w:val="48"/>
            </w:pPr>
            <w:r>
              <w:rPr>
                <w:rFonts w:hint="eastAsia"/>
              </w:rPr>
              <w:t>2+16+2</w:t>
            </w:r>
          </w:p>
        </w:tc>
      </w:tr>
      <w:tr w14:paraId="488B79A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49BBF286">
            <w:pPr>
              <w:pStyle w:val="48"/>
            </w:pPr>
          </w:p>
        </w:tc>
        <w:tc>
          <w:tcPr>
            <w:tcW w:w="1134" w:type="dxa"/>
            <w:vAlign w:val="center"/>
          </w:tcPr>
          <w:p w14:paraId="1E0C64FE">
            <w:pPr>
              <w:pStyle w:val="48"/>
            </w:pPr>
            <w:r>
              <w:rPr>
                <w:rFonts w:hint="eastAsia"/>
              </w:rPr>
              <w:t>崇西路</w:t>
            </w:r>
          </w:p>
        </w:tc>
        <w:tc>
          <w:tcPr>
            <w:tcW w:w="1985" w:type="dxa"/>
            <w:vAlign w:val="center"/>
          </w:tcPr>
          <w:p w14:paraId="191EEF2B">
            <w:pPr>
              <w:pStyle w:val="48"/>
            </w:pPr>
            <w:r>
              <w:rPr>
                <w:rFonts w:hint="eastAsia"/>
              </w:rPr>
              <w:t>南岭街—望洛路</w:t>
            </w:r>
          </w:p>
        </w:tc>
        <w:tc>
          <w:tcPr>
            <w:tcW w:w="1134" w:type="dxa"/>
            <w:vAlign w:val="center"/>
          </w:tcPr>
          <w:p w14:paraId="7FE1F6DB">
            <w:pPr>
              <w:pStyle w:val="48"/>
            </w:pPr>
            <w:r>
              <w:rPr>
                <w:rFonts w:hint="eastAsia"/>
              </w:rPr>
              <w:t>1036</w:t>
            </w:r>
          </w:p>
        </w:tc>
        <w:tc>
          <w:tcPr>
            <w:tcW w:w="1134" w:type="dxa"/>
            <w:vAlign w:val="center"/>
          </w:tcPr>
          <w:p w14:paraId="61DB08F5">
            <w:pPr>
              <w:pStyle w:val="48"/>
            </w:pPr>
            <w:r>
              <w:rPr>
                <w:rFonts w:hint="eastAsia"/>
              </w:rPr>
              <w:t>20</w:t>
            </w:r>
          </w:p>
        </w:tc>
        <w:tc>
          <w:tcPr>
            <w:tcW w:w="1417" w:type="dxa"/>
            <w:vAlign w:val="center"/>
          </w:tcPr>
          <w:p w14:paraId="42B1EFF1">
            <w:pPr>
              <w:pStyle w:val="48"/>
            </w:pPr>
            <w:r>
              <w:rPr>
                <w:rFonts w:hint="eastAsia"/>
              </w:rPr>
              <w:t>4</w:t>
            </w:r>
          </w:p>
        </w:tc>
        <w:tc>
          <w:tcPr>
            <w:tcW w:w="2434" w:type="dxa"/>
            <w:vAlign w:val="center"/>
          </w:tcPr>
          <w:p w14:paraId="68925EB4">
            <w:pPr>
              <w:pStyle w:val="48"/>
            </w:pPr>
            <w:r>
              <w:rPr>
                <w:rFonts w:hint="eastAsia"/>
              </w:rPr>
              <w:t>2+16+2</w:t>
            </w:r>
          </w:p>
        </w:tc>
      </w:tr>
      <w:tr w14:paraId="1F49036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1FFF76D4">
            <w:pPr>
              <w:pStyle w:val="48"/>
            </w:pPr>
          </w:p>
        </w:tc>
        <w:tc>
          <w:tcPr>
            <w:tcW w:w="1134" w:type="dxa"/>
            <w:vAlign w:val="center"/>
          </w:tcPr>
          <w:p w14:paraId="6B8250DA">
            <w:pPr>
              <w:pStyle w:val="48"/>
            </w:pPr>
            <w:r>
              <w:rPr>
                <w:rFonts w:hint="eastAsia"/>
              </w:rPr>
              <w:t>复元路</w:t>
            </w:r>
          </w:p>
        </w:tc>
        <w:tc>
          <w:tcPr>
            <w:tcW w:w="1985" w:type="dxa"/>
            <w:vAlign w:val="center"/>
          </w:tcPr>
          <w:p w14:paraId="6EAE9243">
            <w:pPr>
              <w:pStyle w:val="48"/>
            </w:pPr>
            <w:r>
              <w:rPr>
                <w:rFonts w:hint="eastAsia"/>
              </w:rPr>
              <w:t>崇西路—紫云街</w:t>
            </w:r>
          </w:p>
        </w:tc>
        <w:tc>
          <w:tcPr>
            <w:tcW w:w="1134" w:type="dxa"/>
            <w:vAlign w:val="center"/>
          </w:tcPr>
          <w:p w14:paraId="62F548C8">
            <w:pPr>
              <w:pStyle w:val="48"/>
            </w:pPr>
            <w:r>
              <w:rPr>
                <w:rFonts w:hint="eastAsia"/>
              </w:rPr>
              <w:t>455</w:t>
            </w:r>
          </w:p>
        </w:tc>
        <w:tc>
          <w:tcPr>
            <w:tcW w:w="1134" w:type="dxa"/>
            <w:vAlign w:val="center"/>
          </w:tcPr>
          <w:p w14:paraId="513990A9">
            <w:pPr>
              <w:pStyle w:val="48"/>
            </w:pPr>
            <w:r>
              <w:rPr>
                <w:rFonts w:hint="eastAsia"/>
              </w:rPr>
              <w:t>20</w:t>
            </w:r>
          </w:p>
        </w:tc>
        <w:tc>
          <w:tcPr>
            <w:tcW w:w="1417" w:type="dxa"/>
            <w:vAlign w:val="center"/>
          </w:tcPr>
          <w:p w14:paraId="62C9E203">
            <w:pPr>
              <w:pStyle w:val="48"/>
            </w:pPr>
            <w:r>
              <w:rPr>
                <w:rFonts w:hint="eastAsia"/>
              </w:rPr>
              <w:t>4</w:t>
            </w:r>
          </w:p>
        </w:tc>
        <w:tc>
          <w:tcPr>
            <w:tcW w:w="2434" w:type="dxa"/>
            <w:vAlign w:val="center"/>
          </w:tcPr>
          <w:p w14:paraId="1BBF016D">
            <w:pPr>
              <w:pStyle w:val="48"/>
            </w:pPr>
            <w:r>
              <w:rPr>
                <w:rFonts w:hint="eastAsia"/>
              </w:rPr>
              <w:t>2+16+2</w:t>
            </w:r>
          </w:p>
        </w:tc>
      </w:tr>
      <w:tr w14:paraId="53319AD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04F920DB">
            <w:pPr>
              <w:pStyle w:val="48"/>
            </w:pPr>
          </w:p>
        </w:tc>
        <w:tc>
          <w:tcPr>
            <w:tcW w:w="1134" w:type="dxa"/>
            <w:vAlign w:val="center"/>
          </w:tcPr>
          <w:p w14:paraId="6C2D722C">
            <w:pPr>
              <w:pStyle w:val="48"/>
            </w:pPr>
            <w:r>
              <w:rPr>
                <w:rFonts w:hint="eastAsia"/>
              </w:rPr>
              <w:t>状元路</w:t>
            </w:r>
          </w:p>
        </w:tc>
        <w:tc>
          <w:tcPr>
            <w:tcW w:w="1985" w:type="dxa"/>
            <w:vAlign w:val="center"/>
          </w:tcPr>
          <w:p w14:paraId="5E4D2F49">
            <w:pPr>
              <w:pStyle w:val="48"/>
            </w:pPr>
            <w:r>
              <w:rPr>
                <w:rFonts w:hint="eastAsia"/>
              </w:rPr>
              <w:t>回龙街—望川街</w:t>
            </w:r>
          </w:p>
        </w:tc>
        <w:tc>
          <w:tcPr>
            <w:tcW w:w="1134" w:type="dxa"/>
            <w:vAlign w:val="center"/>
          </w:tcPr>
          <w:p w14:paraId="76F24D13">
            <w:pPr>
              <w:pStyle w:val="48"/>
            </w:pPr>
            <w:r>
              <w:rPr>
                <w:rFonts w:hint="eastAsia"/>
              </w:rPr>
              <w:t>582</w:t>
            </w:r>
          </w:p>
        </w:tc>
        <w:tc>
          <w:tcPr>
            <w:tcW w:w="1134" w:type="dxa"/>
            <w:vAlign w:val="center"/>
          </w:tcPr>
          <w:p w14:paraId="35868E91">
            <w:pPr>
              <w:pStyle w:val="48"/>
            </w:pPr>
            <w:r>
              <w:rPr>
                <w:rFonts w:hint="eastAsia"/>
              </w:rPr>
              <w:t>42</w:t>
            </w:r>
          </w:p>
        </w:tc>
        <w:tc>
          <w:tcPr>
            <w:tcW w:w="1417" w:type="dxa"/>
            <w:vAlign w:val="center"/>
          </w:tcPr>
          <w:p w14:paraId="2DEFC97B">
            <w:pPr>
              <w:pStyle w:val="48"/>
            </w:pPr>
            <w:r>
              <w:rPr>
                <w:rFonts w:hint="eastAsia"/>
              </w:rPr>
              <w:t>4</w:t>
            </w:r>
          </w:p>
        </w:tc>
        <w:tc>
          <w:tcPr>
            <w:tcW w:w="2434" w:type="dxa"/>
            <w:vAlign w:val="center"/>
          </w:tcPr>
          <w:p w14:paraId="0081FCEA">
            <w:pPr>
              <w:pStyle w:val="48"/>
            </w:pPr>
            <w:r>
              <w:rPr>
                <w:rFonts w:hint="eastAsia"/>
              </w:rPr>
              <w:t>6+6+1.5+15+1.5+6+6</w:t>
            </w:r>
          </w:p>
        </w:tc>
      </w:tr>
      <w:tr w14:paraId="69C0B2B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6221F843">
            <w:pPr>
              <w:pStyle w:val="48"/>
            </w:pPr>
          </w:p>
        </w:tc>
        <w:tc>
          <w:tcPr>
            <w:tcW w:w="1134" w:type="dxa"/>
            <w:vAlign w:val="center"/>
          </w:tcPr>
          <w:p w14:paraId="75418F61">
            <w:pPr>
              <w:pStyle w:val="48"/>
            </w:pPr>
            <w:r>
              <w:rPr>
                <w:rFonts w:hint="eastAsia"/>
              </w:rPr>
              <w:t>后川街</w:t>
            </w:r>
          </w:p>
        </w:tc>
        <w:tc>
          <w:tcPr>
            <w:tcW w:w="1985" w:type="dxa"/>
            <w:vAlign w:val="center"/>
          </w:tcPr>
          <w:p w14:paraId="5B0FE0DE">
            <w:pPr>
              <w:pStyle w:val="48"/>
            </w:pPr>
            <w:r>
              <w:rPr>
                <w:rFonts w:hint="eastAsia"/>
              </w:rPr>
              <w:t>望川街—陵沁线</w:t>
            </w:r>
          </w:p>
        </w:tc>
        <w:tc>
          <w:tcPr>
            <w:tcW w:w="1134" w:type="dxa"/>
            <w:vAlign w:val="center"/>
          </w:tcPr>
          <w:p w14:paraId="6C8EE4A0">
            <w:pPr>
              <w:pStyle w:val="48"/>
            </w:pPr>
            <w:r>
              <w:t>833</w:t>
            </w:r>
          </w:p>
        </w:tc>
        <w:tc>
          <w:tcPr>
            <w:tcW w:w="1134" w:type="dxa"/>
            <w:vAlign w:val="center"/>
          </w:tcPr>
          <w:p w14:paraId="39D92E65">
            <w:pPr>
              <w:pStyle w:val="48"/>
            </w:pPr>
            <w:r>
              <w:rPr>
                <w:rFonts w:hint="eastAsia"/>
              </w:rPr>
              <w:t>20</w:t>
            </w:r>
          </w:p>
        </w:tc>
        <w:tc>
          <w:tcPr>
            <w:tcW w:w="1417" w:type="dxa"/>
            <w:vAlign w:val="center"/>
          </w:tcPr>
          <w:p w14:paraId="0C2D4BBF">
            <w:pPr>
              <w:pStyle w:val="48"/>
            </w:pPr>
            <w:r>
              <w:rPr>
                <w:rFonts w:hint="eastAsia"/>
              </w:rPr>
              <w:t>4</w:t>
            </w:r>
          </w:p>
        </w:tc>
        <w:tc>
          <w:tcPr>
            <w:tcW w:w="2434" w:type="dxa"/>
            <w:vAlign w:val="center"/>
          </w:tcPr>
          <w:p w14:paraId="4539126F">
            <w:pPr>
              <w:pStyle w:val="48"/>
            </w:pPr>
            <w:r>
              <w:rPr>
                <w:rFonts w:hint="eastAsia"/>
              </w:rPr>
              <w:t>2+16+2</w:t>
            </w:r>
          </w:p>
        </w:tc>
      </w:tr>
      <w:tr w14:paraId="754E80B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restart"/>
            <w:vAlign w:val="center"/>
          </w:tcPr>
          <w:p w14:paraId="0F6D5F03">
            <w:pPr>
              <w:pStyle w:val="48"/>
            </w:pPr>
            <w:r>
              <w:rPr>
                <w:rFonts w:hint="eastAsia"/>
              </w:rPr>
              <w:t>支</w:t>
            </w:r>
          </w:p>
          <w:p w14:paraId="201D67F0">
            <w:pPr>
              <w:pStyle w:val="48"/>
              <w:rPr>
                <w:rFonts w:hint="eastAsia"/>
              </w:rPr>
            </w:pPr>
            <w:r>
              <w:rPr>
                <w:rFonts w:hint="eastAsia"/>
              </w:rPr>
              <w:t>路</w:t>
            </w:r>
          </w:p>
        </w:tc>
        <w:tc>
          <w:tcPr>
            <w:tcW w:w="1134" w:type="dxa"/>
            <w:vAlign w:val="center"/>
          </w:tcPr>
          <w:p w14:paraId="016252B5">
            <w:pPr>
              <w:pStyle w:val="48"/>
            </w:pPr>
            <w:r>
              <w:rPr>
                <w:rFonts w:hint="eastAsia"/>
              </w:rPr>
              <w:t>北玄街</w:t>
            </w:r>
          </w:p>
        </w:tc>
        <w:tc>
          <w:tcPr>
            <w:tcW w:w="1985" w:type="dxa"/>
            <w:vAlign w:val="center"/>
          </w:tcPr>
          <w:p w14:paraId="7941F9E2">
            <w:pPr>
              <w:pStyle w:val="48"/>
            </w:pPr>
            <w:r>
              <w:rPr>
                <w:rFonts w:hint="eastAsia"/>
              </w:rPr>
              <w:t>望洛路—北川路</w:t>
            </w:r>
          </w:p>
        </w:tc>
        <w:tc>
          <w:tcPr>
            <w:tcW w:w="1134" w:type="dxa"/>
            <w:vAlign w:val="center"/>
          </w:tcPr>
          <w:p w14:paraId="33940B0B">
            <w:pPr>
              <w:pStyle w:val="48"/>
            </w:pPr>
            <w:r>
              <w:t>738</w:t>
            </w:r>
          </w:p>
        </w:tc>
        <w:tc>
          <w:tcPr>
            <w:tcW w:w="1134" w:type="dxa"/>
            <w:vAlign w:val="center"/>
          </w:tcPr>
          <w:p w14:paraId="1D90857D">
            <w:pPr>
              <w:pStyle w:val="48"/>
            </w:pPr>
            <w:r>
              <w:rPr>
                <w:rFonts w:hint="eastAsia"/>
              </w:rPr>
              <w:t>16</w:t>
            </w:r>
          </w:p>
        </w:tc>
        <w:tc>
          <w:tcPr>
            <w:tcW w:w="1417" w:type="dxa"/>
            <w:vAlign w:val="center"/>
          </w:tcPr>
          <w:p w14:paraId="6C32A994">
            <w:pPr>
              <w:pStyle w:val="48"/>
            </w:pPr>
            <w:r>
              <w:rPr>
                <w:rFonts w:hint="eastAsia"/>
              </w:rPr>
              <w:t>2</w:t>
            </w:r>
          </w:p>
        </w:tc>
        <w:tc>
          <w:tcPr>
            <w:tcW w:w="2434" w:type="dxa"/>
            <w:vAlign w:val="center"/>
          </w:tcPr>
          <w:p w14:paraId="355D3C94">
            <w:pPr>
              <w:pStyle w:val="48"/>
            </w:pPr>
            <w:r>
              <w:rPr>
                <w:rFonts w:hint="eastAsia"/>
              </w:rPr>
              <w:t>4.5+7+4.5</w:t>
            </w:r>
          </w:p>
        </w:tc>
      </w:tr>
      <w:tr w14:paraId="674E2E4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0177DC67">
            <w:pPr>
              <w:pStyle w:val="48"/>
            </w:pPr>
          </w:p>
        </w:tc>
        <w:tc>
          <w:tcPr>
            <w:tcW w:w="1134" w:type="dxa"/>
            <w:vAlign w:val="center"/>
          </w:tcPr>
          <w:p w14:paraId="2A031D1C">
            <w:pPr>
              <w:pStyle w:val="48"/>
            </w:pPr>
            <w:r>
              <w:rPr>
                <w:rFonts w:hint="eastAsia"/>
              </w:rPr>
              <w:t>行颠街</w:t>
            </w:r>
          </w:p>
        </w:tc>
        <w:tc>
          <w:tcPr>
            <w:tcW w:w="1985" w:type="dxa"/>
            <w:vAlign w:val="center"/>
          </w:tcPr>
          <w:p w14:paraId="384D3982">
            <w:pPr>
              <w:pStyle w:val="48"/>
            </w:pPr>
            <w:r>
              <w:rPr>
                <w:rFonts w:hint="eastAsia"/>
              </w:rPr>
              <w:t>龙门北巷—紫云街</w:t>
            </w:r>
          </w:p>
        </w:tc>
        <w:tc>
          <w:tcPr>
            <w:tcW w:w="1134" w:type="dxa"/>
            <w:vAlign w:val="center"/>
          </w:tcPr>
          <w:p w14:paraId="19A65A76">
            <w:pPr>
              <w:pStyle w:val="48"/>
            </w:pPr>
            <w:r>
              <w:t>1427</w:t>
            </w:r>
          </w:p>
        </w:tc>
        <w:tc>
          <w:tcPr>
            <w:tcW w:w="1134" w:type="dxa"/>
            <w:vAlign w:val="center"/>
          </w:tcPr>
          <w:p w14:paraId="439F6984">
            <w:pPr>
              <w:pStyle w:val="48"/>
            </w:pPr>
            <w:r>
              <w:rPr>
                <w:rFonts w:hint="eastAsia"/>
              </w:rPr>
              <w:t>16</w:t>
            </w:r>
          </w:p>
        </w:tc>
        <w:tc>
          <w:tcPr>
            <w:tcW w:w="1417" w:type="dxa"/>
            <w:vAlign w:val="center"/>
          </w:tcPr>
          <w:p w14:paraId="70F42D97">
            <w:pPr>
              <w:pStyle w:val="48"/>
            </w:pPr>
            <w:r>
              <w:rPr>
                <w:rFonts w:hint="eastAsia"/>
              </w:rPr>
              <w:t>2</w:t>
            </w:r>
          </w:p>
        </w:tc>
        <w:tc>
          <w:tcPr>
            <w:tcW w:w="2434" w:type="dxa"/>
            <w:vAlign w:val="center"/>
          </w:tcPr>
          <w:p w14:paraId="3952629E">
            <w:pPr>
              <w:pStyle w:val="48"/>
            </w:pPr>
            <w:r>
              <w:rPr>
                <w:rFonts w:hint="eastAsia"/>
              </w:rPr>
              <w:t>4.5+7+4.5</w:t>
            </w:r>
          </w:p>
        </w:tc>
      </w:tr>
      <w:tr w14:paraId="3973B63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restart"/>
            <w:vAlign w:val="center"/>
          </w:tcPr>
          <w:p w14:paraId="5AD467E2">
            <w:pPr>
              <w:pStyle w:val="48"/>
            </w:pPr>
            <w:r>
              <w:rPr>
                <w:rFonts w:hint="eastAsia"/>
              </w:rPr>
              <w:t>支</w:t>
            </w:r>
          </w:p>
          <w:p w14:paraId="7CB9BC19">
            <w:pPr>
              <w:pStyle w:val="48"/>
            </w:pPr>
          </w:p>
          <w:p w14:paraId="54601CED">
            <w:pPr>
              <w:pStyle w:val="48"/>
            </w:pPr>
          </w:p>
          <w:p w14:paraId="7DC14CEA">
            <w:pPr>
              <w:pStyle w:val="48"/>
            </w:pPr>
            <w:r>
              <w:rPr>
                <w:rFonts w:hint="eastAsia"/>
              </w:rPr>
              <w:t>路</w:t>
            </w:r>
          </w:p>
        </w:tc>
        <w:tc>
          <w:tcPr>
            <w:tcW w:w="1134" w:type="dxa"/>
            <w:vAlign w:val="center"/>
          </w:tcPr>
          <w:p w14:paraId="4E3BE6E3">
            <w:pPr>
              <w:pStyle w:val="48"/>
            </w:pPr>
            <w:r>
              <w:rPr>
                <w:rFonts w:hint="eastAsia"/>
              </w:rPr>
              <w:t>龙门北巷</w:t>
            </w:r>
          </w:p>
        </w:tc>
        <w:tc>
          <w:tcPr>
            <w:tcW w:w="1985" w:type="dxa"/>
            <w:vAlign w:val="center"/>
          </w:tcPr>
          <w:p w14:paraId="0DDC6771">
            <w:pPr>
              <w:pStyle w:val="48"/>
            </w:pPr>
            <w:r>
              <w:rPr>
                <w:rFonts w:hint="eastAsia"/>
              </w:rPr>
              <w:t>行颠街—梅园西街</w:t>
            </w:r>
          </w:p>
        </w:tc>
        <w:tc>
          <w:tcPr>
            <w:tcW w:w="1134" w:type="dxa"/>
            <w:vAlign w:val="center"/>
          </w:tcPr>
          <w:p w14:paraId="55ED026A">
            <w:pPr>
              <w:pStyle w:val="48"/>
            </w:pPr>
            <w:r>
              <w:t>1004</w:t>
            </w:r>
          </w:p>
        </w:tc>
        <w:tc>
          <w:tcPr>
            <w:tcW w:w="1134" w:type="dxa"/>
            <w:vAlign w:val="center"/>
          </w:tcPr>
          <w:p w14:paraId="213B4CDC">
            <w:pPr>
              <w:pStyle w:val="48"/>
            </w:pPr>
            <w:r>
              <w:rPr>
                <w:rFonts w:hint="eastAsia"/>
              </w:rPr>
              <w:t>16</w:t>
            </w:r>
          </w:p>
        </w:tc>
        <w:tc>
          <w:tcPr>
            <w:tcW w:w="1417" w:type="dxa"/>
            <w:vAlign w:val="center"/>
          </w:tcPr>
          <w:p w14:paraId="4601F28F">
            <w:pPr>
              <w:pStyle w:val="48"/>
            </w:pPr>
            <w:r>
              <w:rPr>
                <w:rFonts w:hint="eastAsia"/>
              </w:rPr>
              <w:t>2</w:t>
            </w:r>
          </w:p>
        </w:tc>
        <w:tc>
          <w:tcPr>
            <w:tcW w:w="2434" w:type="dxa"/>
            <w:vAlign w:val="center"/>
          </w:tcPr>
          <w:p w14:paraId="3316816A">
            <w:pPr>
              <w:pStyle w:val="48"/>
            </w:pPr>
            <w:r>
              <w:rPr>
                <w:rFonts w:hint="eastAsia"/>
              </w:rPr>
              <w:t>4.5+7+4.5</w:t>
            </w:r>
          </w:p>
        </w:tc>
      </w:tr>
      <w:tr w14:paraId="2D0ED0B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5571A2DF">
            <w:pPr>
              <w:pStyle w:val="48"/>
            </w:pPr>
          </w:p>
        </w:tc>
        <w:tc>
          <w:tcPr>
            <w:tcW w:w="1134" w:type="dxa"/>
            <w:vAlign w:val="center"/>
          </w:tcPr>
          <w:p w14:paraId="19F5F647">
            <w:pPr>
              <w:pStyle w:val="48"/>
            </w:pPr>
            <w:r>
              <w:rPr>
                <w:rFonts w:hint="eastAsia"/>
              </w:rPr>
              <w:t>西关巷</w:t>
            </w:r>
          </w:p>
        </w:tc>
        <w:tc>
          <w:tcPr>
            <w:tcW w:w="1985" w:type="dxa"/>
            <w:vAlign w:val="center"/>
          </w:tcPr>
          <w:p w14:paraId="3AC5A007">
            <w:pPr>
              <w:pStyle w:val="48"/>
            </w:pPr>
            <w:r>
              <w:rPr>
                <w:rFonts w:hint="eastAsia"/>
              </w:rPr>
              <w:t>陵沁线—望洛路</w:t>
            </w:r>
          </w:p>
        </w:tc>
        <w:tc>
          <w:tcPr>
            <w:tcW w:w="1134" w:type="dxa"/>
            <w:vAlign w:val="center"/>
          </w:tcPr>
          <w:p w14:paraId="5BC12844">
            <w:pPr>
              <w:pStyle w:val="48"/>
            </w:pPr>
            <w:r>
              <w:rPr>
                <w:rFonts w:hint="eastAsia"/>
              </w:rPr>
              <w:t>1060</w:t>
            </w:r>
          </w:p>
        </w:tc>
        <w:tc>
          <w:tcPr>
            <w:tcW w:w="1134" w:type="dxa"/>
            <w:vAlign w:val="center"/>
          </w:tcPr>
          <w:p w14:paraId="6B6D6EA6">
            <w:pPr>
              <w:pStyle w:val="48"/>
            </w:pPr>
            <w:r>
              <w:rPr>
                <w:rFonts w:hint="eastAsia"/>
              </w:rPr>
              <w:t>16</w:t>
            </w:r>
          </w:p>
        </w:tc>
        <w:tc>
          <w:tcPr>
            <w:tcW w:w="1417" w:type="dxa"/>
            <w:vAlign w:val="center"/>
          </w:tcPr>
          <w:p w14:paraId="6563FC2C">
            <w:pPr>
              <w:pStyle w:val="48"/>
            </w:pPr>
            <w:r>
              <w:rPr>
                <w:rFonts w:hint="eastAsia"/>
              </w:rPr>
              <w:t>2</w:t>
            </w:r>
          </w:p>
        </w:tc>
        <w:tc>
          <w:tcPr>
            <w:tcW w:w="2434" w:type="dxa"/>
            <w:vAlign w:val="center"/>
          </w:tcPr>
          <w:p w14:paraId="29AECCDD">
            <w:pPr>
              <w:pStyle w:val="48"/>
            </w:pPr>
            <w:r>
              <w:rPr>
                <w:rFonts w:hint="eastAsia"/>
              </w:rPr>
              <w:t>4.5+7+4.5</w:t>
            </w:r>
          </w:p>
        </w:tc>
      </w:tr>
      <w:tr w14:paraId="052A441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59A80316">
            <w:pPr>
              <w:pStyle w:val="48"/>
            </w:pPr>
          </w:p>
        </w:tc>
        <w:tc>
          <w:tcPr>
            <w:tcW w:w="1134" w:type="dxa"/>
            <w:vAlign w:val="center"/>
          </w:tcPr>
          <w:p w14:paraId="2C39D25D">
            <w:pPr>
              <w:pStyle w:val="48"/>
            </w:pPr>
            <w:r>
              <w:rPr>
                <w:rFonts w:hint="eastAsia"/>
              </w:rPr>
              <w:t>北关巷</w:t>
            </w:r>
          </w:p>
        </w:tc>
        <w:tc>
          <w:tcPr>
            <w:tcW w:w="1985" w:type="dxa"/>
            <w:vAlign w:val="center"/>
          </w:tcPr>
          <w:p w14:paraId="7BAE81F7">
            <w:pPr>
              <w:pStyle w:val="48"/>
            </w:pPr>
            <w:r>
              <w:rPr>
                <w:rFonts w:hint="eastAsia"/>
              </w:rPr>
              <w:t>望洛路—紫云街</w:t>
            </w:r>
          </w:p>
        </w:tc>
        <w:tc>
          <w:tcPr>
            <w:tcW w:w="1134" w:type="dxa"/>
            <w:vAlign w:val="center"/>
          </w:tcPr>
          <w:p w14:paraId="281417C7">
            <w:pPr>
              <w:pStyle w:val="48"/>
            </w:pPr>
            <w:r>
              <w:rPr>
                <w:rFonts w:hint="eastAsia"/>
              </w:rPr>
              <w:t>584</w:t>
            </w:r>
          </w:p>
        </w:tc>
        <w:tc>
          <w:tcPr>
            <w:tcW w:w="1134" w:type="dxa"/>
            <w:vAlign w:val="center"/>
          </w:tcPr>
          <w:p w14:paraId="37C6FCE4">
            <w:pPr>
              <w:pStyle w:val="48"/>
            </w:pPr>
            <w:r>
              <w:rPr>
                <w:rFonts w:hint="eastAsia"/>
              </w:rPr>
              <w:t>16</w:t>
            </w:r>
          </w:p>
        </w:tc>
        <w:tc>
          <w:tcPr>
            <w:tcW w:w="1417" w:type="dxa"/>
            <w:vAlign w:val="center"/>
          </w:tcPr>
          <w:p w14:paraId="20EA4735">
            <w:pPr>
              <w:pStyle w:val="48"/>
            </w:pPr>
            <w:r>
              <w:rPr>
                <w:rFonts w:hint="eastAsia"/>
              </w:rPr>
              <w:t>2</w:t>
            </w:r>
          </w:p>
        </w:tc>
        <w:tc>
          <w:tcPr>
            <w:tcW w:w="2434" w:type="dxa"/>
            <w:vAlign w:val="center"/>
          </w:tcPr>
          <w:p w14:paraId="04332C26">
            <w:pPr>
              <w:pStyle w:val="48"/>
            </w:pPr>
            <w:r>
              <w:rPr>
                <w:rFonts w:hint="eastAsia"/>
              </w:rPr>
              <w:t>4.5+7+4.5</w:t>
            </w:r>
          </w:p>
        </w:tc>
      </w:tr>
      <w:tr w14:paraId="0F49260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4C6CDADA">
            <w:pPr>
              <w:pStyle w:val="48"/>
            </w:pPr>
          </w:p>
        </w:tc>
        <w:tc>
          <w:tcPr>
            <w:tcW w:w="1134" w:type="dxa"/>
            <w:vAlign w:val="center"/>
          </w:tcPr>
          <w:p w14:paraId="2F32F8E2">
            <w:pPr>
              <w:pStyle w:val="48"/>
            </w:pPr>
            <w:r>
              <w:rPr>
                <w:rFonts w:hint="eastAsia"/>
              </w:rPr>
              <w:t>海口巷</w:t>
            </w:r>
          </w:p>
        </w:tc>
        <w:tc>
          <w:tcPr>
            <w:tcW w:w="1985" w:type="dxa"/>
            <w:vAlign w:val="center"/>
          </w:tcPr>
          <w:p w14:paraId="7A0B0BF7">
            <w:pPr>
              <w:pStyle w:val="48"/>
            </w:pPr>
            <w:r>
              <w:rPr>
                <w:rFonts w:hint="eastAsia"/>
              </w:rPr>
              <w:t>希望路—鸿雁街</w:t>
            </w:r>
          </w:p>
        </w:tc>
        <w:tc>
          <w:tcPr>
            <w:tcW w:w="1134" w:type="dxa"/>
            <w:vAlign w:val="center"/>
          </w:tcPr>
          <w:p w14:paraId="54AE2B7C">
            <w:pPr>
              <w:pStyle w:val="48"/>
            </w:pPr>
            <w:r>
              <w:rPr>
                <w:rFonts w:hint="eastAsia"/>
              </w:rPr>
              <w:t>866</w:t>
            </w:r>
          </w:p>
        </w:tc>
        <w:tc>
          <w:tcPr>
            <w:tcW w:w="1134" w:type="dxa"/>
            <w:vAlign w:val="center"/>
          </w:tcPr>
          <w:p w14:paraId="0D077818">
            <w:pPr>
              <w:pStyle w:val="48"/>
            </w:pPr>
            <w:r>
              <w:rPr>
                <w:rFonts w:hint="eastAsia"/>
              </w:rPr>
              <w:t>12</w:t>
            </w:r>
          </w:p>
        </w:tc>
        <w:tc>
          <w:tcPr>
            <w:tcW w:w="1417" w:type="dxa"/>
            <w:vAlign w:val="center"/>
          </w:tcPr>
          <w:p w14:paraId="2F5964E1">
            <w:pPr>
              <w:pStyle w:val="48"/>
            </w:pPr>
            <w:r>
              <w:rPr>
                <w:rFonts w:hint="eastAsia"/>
              </w:rPr>
              <w:t>2</w:t>
            </w:r>
          </w:p>
        </w:tc>
        <w:tc>
          <w:tcPr>
            <w:tcW w:w="2434" w:type="dxa"/>
            <w:vAlign w:val="center"/>
          </w:tcPr>
          <w:p w14:paraId="4BDC896E">
            <w:pPr>
              <w:pStyle w:val="48"/>
            </w:pPr>
            <w:r>
              <w:rPr>
                <w:rFonts w:hint="eastAsia"/>
              </w:rPr>
              <w:t>2.5+7+2.5</w:t>
            </w:r>
          </w:p>
        </w:tc>
      </w:tr>
      <w:tr w14:paraId="652AD3A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70C255BA">
            <w:pPr>
              <w:pStyle w:val="48"/>
            </w:pPr>
          </w:p>
        </w:tc>
        <w:tc>
          <w:tcPr>
            <w:tcW w:w="1134" w:type="dxa"/>
            <w:vAlign w:val="center"/>
          </w:tcPr>
          <w:p w14:paraId="7F70409B">
            <w:pPr>
              <w:pStyle w:val="48"/>
            </w:pPr>
            <w:r>
              <w:rPr>
                <w:rFonts w:hint="eastAsia"/>
              </w:rPr>
              <w:t>希望路</w:t>
            </w:r>
          </w:p>
        </w:tc>
        <w:tc>
          <w:tcPr>
            <w:tcW w:w="1985" w:type="dxa"/>
            <w:vAlign w:val="center"/>
          </w:tcPr>
          <w:p w14:paraId="2278A4D7">
            <w:pPr>
              <w:pStyle w:val="48"/>
            </w:pPr>
            <w:r>
              <w:rPr>
                <w:rFonts w:hint="eastAsia"/>
              </w:rPr>
              <w:t>文化街—宁远街</w:t>
            </w:r>
          </w:p>
        </w:tc>
        <w:tc>
          <w:tcPr>
            <w:tcW w:w="1134" w:type="dxa"/>
            <w:vAlign w:val="center"/>
          </w:tcPr>
          <w:p w14:paraId="1DA836AA">
            <w:pPr>
              <w:pStyle w:val="48"/>
            </w:pPr>
            <w:r>
              <w:t>1174</w:t>
            </w:r>
          </w:p>
        </w:tc>
        <w:tc>
          <w:tcPr>
            <w:tcW w:w="1134" w:type="dxa"/>
            <w:vAlign w:val="center"/>
          </w:tcPr>
          <w:p w14:paraId="389224DB">
            <w:pPr>
              <w:pStyle w:val="48"/>
            </w:pPr>
            <w:r>
              <w:rPr>
                <w:rFonts w:hint="eastAsia"/>
              </w:rPr>
              <w:t>16</w:t>
            </w:r>
          </w:p>
        </w:tc>
        <w:tc>
          <w:tcPr>
            <w:tcW w:w="1417" w:type="dxa"/>
            <w:vAlign w:val="center"/>
          </w:tcPr>
          <w:p w14:paraId="3CF1ED12">
            <w:pPr>
              <w:pStyle w:val="48"/>
            </w:pPr>
            <w:r>
              <w:rPr>
                <w:rFonts w:hint="eastAsia"/>
              </w:rPr>
              <w:t>2</w:t>
            </w:r>
          </w:p>
        </w:tc>
        <w:tc>
          <w:tcPr>
            <w:tcW w:w="2434" w:type="dxa"/>
            <w:vAlign w:val="center"/>
          </w:tcPr>
          <w:p w14:paraId="739B9E2A">
            <w:pPr>
              <w:pStyle w:val="48"/>
            </w:pPr>
            <w:r>
              <w:rPr>
                <w:rFonts w:hint="eastAsia"/>
              </w:rPr>
              <w:t>2.5+7+2.5</w:t>
            </w:r>
          </w:p>
        </w:tc>
      </w:tr>
      <w:tr w14:paraId="5FC7437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0B5E06C3">
            <w:pPr>
              <w:pStyle w:val="48"/>
            </w:pPr>
          </w:p>
        </w:tc>
        <w:tc>
          <w:tcPr>
            <w:tcW w:w="1134" w:type="dxa"/>
            <w:vAlign w:val="center"/>
          </w:tcPr>
          <w:p w14:paraId="169B1374">
            <w:pPr>
              <w:pStyle w:val="48"/>
            </w:pPr>
            <w:r>
              <w:rPr>
                <w:rFonts w:hint="eastAsia"/>
              </w:rPr>
              <w:t>宁远街</w:t>
            </w:r>
          </w:p>
        </w:tc>
        <w:tc>
          <w:tcPr>
            <w:tcW w:w="1985" w:type="dxa"/>
            <w:vAlign w:val="center"/>
          </w:tcPr>
          <w:p w14:paraId="7F59D15B">
            <w:pPr>
              <w:pStyle w:val="48"/>
            </w:pPr>
            <w:r>
              <w:rPr>
                <w:rFonts w:hint="eastAsia"/>
              </w:rPr>
              <w:t>陵沁线—古陵路</w:t>
            </w:r>
          </w:p>
        </w:tc>
        <w:tc>
          <w:tcPr>
            <w:tcW w:w="1134" w:type="dxa"/>
            <w:vAlign w:val="center"/>
          </w:tcPr>
          <w:p w14:paraId="5067F646">
            <w:pPr>
              <w:pStyle w:val="48"/>
            </w:pPr>
            <w:r>
              <w:t>676</w:t>
            </w:r>
          </w:p>
        </w:tc>
        <w:tc>
          <w:tcPr>
            <w:tcW w:w="1134" w:type="dxa"/>
            <w:vAlign w:val="center"/>
          </w:tcPr>
          <w:p w14:paraId="3573DD15">
            <w:pPr>
              <w:pStyle w:val="48"/>
            </w:pPr>
            <w:r>
              <w:rPr>
                <w:rFonts w:hint="eastAsia"/>
              </w:rPr>
              <w:t>12</w:t>
            </w:r>
          </w:p>
        </w:tc>
        <w:tc>
          <w:tcPr>
            <w:tcW w:w="1417" w:type="dxa"/>
            <w:vAlign w:val="center"/>
          </w:tcPr>
          <w:p w14:paraId="5E031188">
            <w:pPr>
              <w:pStyle w:val="48"/>
            </w:pPr>
            <w:r>
              <w:rPr>
                <w:rFonts w:hint="eastAsia"/>
              </w:rPr>
              <w:t>2</w:t>
            </w:r>
          </w:p>
        </w:tc>
        <w:tc>
          <w:tcPr>
            <w:tcW w:w="2434" w:type="dxa"/>
            <w:vAlign w:val="center"/>
          </w:tcPr>
          <w:p w14:paraId="524D87AB">
            <w:pPr>
              <w:pStyle w:val="48"/>
            </w:pPr>
            <w:r>
              <w:rPr>
                <w:rFonts w:hint="eastAsia"/>
              </w:rPr>
              <w:t>2.5+7+2.5</w:t>
            </w:r>
          </w:p>
        </w:tc>
      </w:tr>
      <w:tr w14:paraId="45D629C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35DD8F8B">
            <w:pPr>
              <w:pStyle w:val="48"/>
            </w:pPr>
          </w:p>
        </w:tc>
        <w:tc>
          <w:tcPr>
            <w:tcW w:w="1134" w:type="dxa"/>
            <w:vAlign w:val="center"/>
          </w:tcPr>
          <w:p w14:paraId="1DE5F4EA">
            <w:pPr>
              <w:pStyle w:val="48"/>
            </w:pPr>
            <w:r>
              <w:rPr>
                <w:rFonts w:hint="eastAsia"/>
              </w:rPr>
              <w:t>北川路</w:t>
            </w:r>
          </w:p>
        </w:tc>
        <w:tc>
          <w:tcPr>
            <w:tcW w:w="1985" w:type="dxa"/>
            <w:vAlign w:val="center"/>
          </w:tcPr>
          <w:p w14:paraId="5C0633FC">
            <w:pPr>
              <w:pStyle w:val="48"/>
            </w:pPr>
            <w:r>
              <w:rPr>
                <w:rFonts w:hint="eastAsia"/>
              </w:rPr>
              <w:t>北外环路—陵云街</w:t>
            </w:r>
          </w:p>
        </w:tc>
        <w:tc>
          <w:tcPr>
            <w:tcW w:w="1134" w:type="dxa"/>
            <w:vAlign w:val="center"/>
          </w:tcPr>
          <w:p w14:paraId="523EF6ED">
            <w:pPr>
              <w:pStyle w:val="48"/>
            </w:pPr>
            <w:r>
              <w:t>640</w:t>
            </w:r>
          </w:p>
        </w:tc>
        <w:tc>
          <w:tcPr>
            <w:tcW w:w="1134" w:type="dxa"/>
            <w:vAlign w:val="center"/>
          </w:tcPr>
          <w:p w14:paraId="2536E506">
            <w:pPr>
              <w:pStyle w:val="48"/>
            </w:pPr>
            <w:r>
              <w:rPr>
                <w:rFonts w:hint="eastAsia"/>
              </w:rPr>
              <w:t>16</w:t>
            </w:r>
          </w:p>
        </w:tc>
        <w:tc>
          <w:tcPr>
            <w:tcW w:w="1417" w:type="dxa"/>
            <w:vAlign w:val="center"/>
          </w:tcPr>
          <w:p w14:paraId="196AF1B9">
            <w:pPr>
              <w:pStyle w:val="48"/>
            </w:pPr>
            <w:r>
              <w:rPr>
                <w:rFonts w:hint="eastAsia"/>
              </w:rPr>
              <w:t>2</w:t>
            </w:r>
          </w:p>
        </w:tc>
        <w:tc>
          <w:tcPr>
            <w:tcW w:w="2434" w:type="dxa"/>
            <w:vAlign w:val="center"/>
          </w:tcPr>
          <w:p w14:paraId="77A7D0CA">
            <w:pPr>
              <w:pStyle w:val="48"/>
            </w:pPr>
            <w:r>
              <w:rPr>
                <w:rFonts w:hint="eastAsia"/>
              </w:rPr>
              <w:t>4.5+7+4.5</w:t>
            </w:r>
          </w:p>
        </w:tc>
      </w:tr>
      <w:tr w14:paraId="593AE8A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73215B0C">
            <w:pPr>
              <w:pStyle w:val="48"/>
            </w:pPr>
          </w:p>
        </w:tc>
        <w:tc>
          <w:tcPr>
            <w:tcW w:w="1134" w:type="dxa"/>
            <w:vAlign w:val="center"/>
          </w:tcPr>
          <w:p w14:paraId="52473C47">
            <w:pPr>
              <w:pStyle w:val="48"/>
            </w:pPr>
            <w:r>
              <w:rPr>
                <w:rFonts w:hint="eastAsia"/>
              </w:rPr>
              <w:t>文昌街</w:t>
            </w:r>
          </w:p>
        </w:tc>
        <w:tc>
          <w:tcPr>
            <w:tcW w:w="1985" w:type="dxa"/>
            <w:vAlign w:val="center"/>
          </w:tcPr>
          <w:p w14:paraId="5471F453">
            <w:pPr>
              <w:pStyle w:val="48"/>
            </w:pPr>
            <w:r>
              <w:rPr>
                <w:rFonts w:hint="eastAsia"/>
              </w:rPr>
              <w:t>北环路—陵云街</w:t>
            </w:r>
          </w:p>
        </w:tc>
        <w:tc>
          <w:tcPr>
            <w:tcW w:w="1134" w:type="dxa"/>
            <w:vAlign w:val="center"/>
          </w:tcPr>
          <w:p w14:paraId="1C8D36A3">
            <w:pPr>
              <w:pStyle w:val="48"/>
            </w:pPr>
            <w:r>
              <w:t>577</w:t>
            </w:r>
          </w:p>
        </w:tc>
        <w:tc>
          <w:tcPr>
            <w:tcW w:w="1134" w:type="dxa"/>
            <w:vAlign w:val="center"/>
          </w:tcPr>
          <w:p w14:paraId="39D715CD">
            <w:pPr>
              <w:pStyle w:val="48"/>
            </w:pPr>
            <w:r>
              <w:rPr>
                <w:rFonts w:hint="eastAsia"/>
              </w:rPr>
              <w:t>16</w:t>
            </w:r>
          </w:p>
        </w:tc>
        <w:tc>
          <w:tcPr>
            <w:tcW w:w="1417" w:type="dxa"/>
            <w:vAlign w:val="center"/>
          </w:tcPr>
          <w:p w14:paraId="2B102255">
            <w:pPr>
              <w:pStyle w:val="48"/>
            </w:pPr>
            <w:r>
              <w:rPr>
                <w:rFonts w:hint="eastAsia"/>
              </w:rPr>
              <w:t>2</w:t>
            </w:r>
          </w:p>
        </w:tc>
        <w:tc>
          <w:tcPr>
            <w:tcW w:w="2434" w:type="dxa"/>
            <w:vAlign w:val="center"/>
          </w:tcPr>
          <w:p w14:paraId="4E309612">
            <w:pPr>
              <w:pStyle w:val="48"/>
            </w:pPr>
            <w:r>
              <w:rPr>
                <w:rFonts w:hint="eastAsia"/>
              </w:rPr>
              <w:t>4.5+7+4.5</w:t>
            </w:r>
          </w:p>
        </w:tc>
      </w:tr>
      <w:tr w14:paraId="3A40019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44A2A577">
            <w:pPr>
              <w:pStyle w:val="48"/>
            </w:pPr>
          </w:p>
        </w:tc>
        <w:tc>
          <w:tcPr>
            <w:tcW w:w="1134" w:type="dxa"/>
            <w:vAlign w:val="center"/>
          </w:tcPr>
          <w:p w14:paraId="6258AC08">
            <w:pPr>
              <w:pStyle w:val="48"/>
            </w:pPr>
            <w:r>
              <w:rPr>
                <w:rFonts w:hint="eastAsia"/>
              </w:rPr>
              <w:t>锦屏路</w:t>
            </w:r>
          </w:p>
        </w:tc>
        <w:tc>
          <w:tcPr>
            <w:tcW w:w="1985" w:type="dxa"/>
            <w:vAlign w:val="center"/>
          </w:tcPr>
          <w:p w14:paraId="5CA2A556">
            <w:pPr>
              <w:pStyle w:val="48"/>
            </w:pPr>
            <w:r>
              <w:rPr>
                <w:rFonts w:hint="eastAsia"/>
              </w:rPr>
              <w:t>北玄街—行颠街</w:t>
            </w:r>
          </w:p>
        </w:tc>
        <w:tc>
          <w:tcPr>
            <w:tcW w:w="1134" w:type="dxa"/>
            <w:vAlign w:val="center"/>
          </w:tcPr>
          <w:p w14:paraId="371521B3">
            <w:pPr>
              <w:pStyle w:val="48"/>
            </w:pPr>
            <w:r>
              <w:t>876</w:t>
            </w:r>
          </w:p>
        </w:tc>
        <w:tc>
          <w:tcPr>
            <w:tcW w:w="1134" w:type="dxa"/>
            <w:vAlign w:val="center"/>
          </w:tcPr>
          <w:p w14:paraId="086DF543">
            <w:pPr>
              <w:pStyle w:val="48"/>
            </w:pPr>
            <w:r>
              <w:rPr>
                <w:rFonts w:hint="eastAsia"/>
              </w:rPr>
              <w:t>16</w:t>
            </w:r>
          </w:p>
        </w:tc>
        <w:tc>
          <w:tcPr>
            <w:tcW w:w="1417" w:type="dxa"/>
            <w:vAlign w:val="center"/>
          </w:tcPr>
          <w:p w14:paraId="2870ECAF">
            <w:pPr>
              <w:pStyle w:val="48"/>
            </w:pPr>
            <w:r>
              <w:rPr>
                <w:rFonts w:hint="eastAsia"/>
              </w:rPr>
              <w:t>2</w:t>
            </w:r>
          </w:p>
        </w:tc>
        <w:tc>
          <w:tcPr>
            <w:tcW w:w="2434" w:type="dxa"/>
            <w:vAlign w:val="center"/>
          </w:tcPr>
          <w:p w14:paraId="737B8ADE">
            <w:pPr>
              <w:pStyle w:val="48"/>
            </w:pPr>
            <w:r>
              <w:rPr>
                <w:rFonts w:hint="eastAsia"/>
              </w:rPr>
              <w:t>4.5+7+4.5</w:t>
            </w:r>
          </w:p>
        </w:tc>
      </w:tr>
      <w:tr w14:paraId="43931D5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232247A8">
            <w:pPr>
              <w:pStyle w:val="48"/>
            </w:pPr>
          </w:p>
        </w:tc>
        <w:tc>
          <w:tcPr>
            <w:tcW w:w="1134" w:type="dxa"/>
            <w:vAlign w:val="center"/>
          </w:tcPr>
          <w:p w14:paraId="1B047846">
            <w:pPr>
              <w:pStyle w:val="48"/>
            </w:pPr>
            <w:r>
              <w:rPr>
                <w:rFonts w:hint="eastAsia"/>
              </w:rPr>
              <w:t>崇西北路</w:t>
            </w:r>
          </w:p>
        </w:tc>
        <w:tc>
          <w:tcPr>
            <w:tcW w:w="1985" w:type="dxa"/>
            <w:vAlign w:val="center"/>
          </w:tcPr>
          <w:p w14:paraId="05F64077">
            <w:pPr>
              <w:pStyle w:val="48"/>
            </w:pPr>
            <w:r>
              <w:rPr>
                <w:rFonts w:hint="eastAsia"/>
              </w:rPr>
              <w:t>南坪街—崇西路</w:t>
            </w:r>
          </w:p>
        </w:tc>
        <w:tc>
          <w:tcPr>
            <w:tcW w:w="1134" w:type="dxa"/>
            <w:vAlign w:val="center"/>
          </w:tcPr>
          <w:p w14:paraId="01670AF2">
            <w:pPr>
              <w:pStyle w:val="48"/>
            </w:pPr>
            <w:r>
              <w:t>844</w:t>
            </w:r>
          </w:p>
        </w:tc>
        <w:tc>
          <w:tcPr>
            <w:tcW w:w="1134" w:type="dxa"/>
            <w:vAlign w:val="center"/>
          </w:tcPr>
          <w:p w14:paraId="3EB30B57">
            <w:pPr>
              <w:pStyle w:val="48"/>
            </w:pPr>
            <w:r>
              <w:rPr>
                <w:rFonts w:hint="eastAsia"/>
              </w:rPr>
              <w:t>16</w:t>
            </w:r>
          </w:p>
        </w:tc>
        <w:tc>
          <w:tcPr>
            <w:tcW w:w="1417" w:type="dxa"/>
            <w:vAlign w:val="center"/>
          </w:tcPr>
          <w:p w14:paraId="680DA810">
            <w:pPr>
              <w:pStyle w:val="48"/>
            </w:pPr>
            <w:r>
              <w:rPr>
                <w:rFonts w:hint="eastAsia"/>
              </w:rPr>
              <w:t>2</w:t>
            </w:r>
          </w:p>
        </w:tc>
        <w:tc>
          <w:tcPr>
            <w:tcW w:w="2434" w:type="dxa"/>
            <w:vAlign w:val="center"/>
          </w:tcPr>
          <w:p w14:paraId="614F7823">
            <w:pPr>
              <w:pStyle w:val="48"/>
            </w:pPr>
            <w:r>
              <w:rPr>
                <w:rFonts w:hint="eastAsia"/>
              </w:rPr>
              <w:t>4.5+7+4.5</w:t>
            </w:r>
          </w:p>
        </w:tc>
      </w:tr>
      <w:tr w14:paraId="158284D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4BD26D55">
            <w:pPr>
              <w:pStyle w:val="48"/>
            </w:pPr>
          </w:p>
        </w:tc>
        <w:tc>
          <w:tcPr>
            <w:tcW w:w="1134" w:type="dxa"/>
            <w:vAlign w:val="center"/>
          </w:tcPr>
          <w:p w14:paraId="7B6F4D4E">
            <w:pPr>
              <w:pStyle w:val="48"/>
            </w:pPr>
            <w:r>
              <w:rPr>
                <w:rFonts w:hint="eastAsia"/>
              </w:rPr>
              <w:t>古陵北路</w:t>
            </w:r>
          </w:p>
        </w:tc>
        <w:tc>
          <w:tcPr>
            <w:tcW w:w="1985" w:type="dxa"/>
            <w:vAlign w:val="center"/>
          </w:tcPr>
          <w:p w14:paraId="405EEA9C">
            <w:pPr>
              <w:pStyle w:val="48"/>
            </w:pPr>
            <w:r>
              <w:rPr>
                <w:rFonts w:hint="eastAsia"/>
              </w:rPr>
              <w:t>崇安西街—南岭街</w:t>
            </w:r>
          </w:p>
        </w:tc>
        <w:tc>
          <w:tcPr>
            <w:tcW w:w="1134" w:type="dxa"/>
            <w:vAlign w:val="center"/>
          </w:tcPr>
          <w:p w14:paraId="3F01A6F0">
            <w:pPr>
              <w:pStyle w:val="48"/>
            </w:pPr>
            <w:r>
              <w:rPr>
                <w:rFonts w:hint="eastAsia"/>
              </w:rPr>
              <w:t>452</w:t>
            </w:r>
          </w:p>
        </w:tc>
        <w:tc>
          <w:tcPr>
            <w:tcW w:w="1134" w:type="dxa"/>
            <w:vAlign w:val="center"/>
          </w:tcPr>
          <w:p w14:paraId="455B2B38">
            <w:pPr>
              <w:pStyle w:val="48"/>
            </w:pPr>
            <w:r>
              <w:rPr>
                <w:rFonts w:hint="eastAsia"/>
              </w:rPr>
              <w:t>16</w:t>
            </w:r>
          </w:p>
        </w:tc>
        <w:tc>
          <w:tcPr>
            <w:tcW w:w="1417" w:type="dxa"/>
            <w:vAlign w:val="center"/>
          </w:tcPr>
          <w:p w14:paraId="2B317B21">
            <w:pPr>
              <w:pStyle w:val="48"/>
            </w:pPr>
            <w:r>
              <w:rPr>
                <w:rFonts w:hint="eastAsia"/>
              </w:rPr>
              <w:t>2</w:t>
            </w:r>
          </w:p>
        </w:tc>
        <w:tc>
          <w:tcPr>
            <w:tcW w:w="2434" w:type="dxa"/>
            <w:vAlign w:val="center"/>
          </w:tcPr>
          <w:p w14:paraId="2AFEDF23">
            <w:pPr>
              <w:pStyle w:val="48"/>
            </w:pPr>
            <w:r>
              <w:rPr>
                <w:rFonts w:hint="eastAsia"/>
              </w:rPr>
              <w:t>4.5+7+4.5</w:t>
            </w:r>
          </w:p>
        </w:tc>
      </w:tr>
      <w:tr w14:paraId="5987C6A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558C37DB">
            <w:pPr>
              <w:pStyle w:val="48"/>
            </w:pPr>
          </w:p>
        </w:tc>
        <w:tc>
          <w:tcPr>
            <w:tcW w:w="1134" w:type="dxa"/>
            <w:vAlign w:val="center"/>
          </w:tcPr>
          <w:p w14:paraId="69C5CCA3">
            <w:pPr>
              <w:pStyle w:val="48"/>
            </w:pPr>
            <w:r>
              <w:rPr>
                <w:rFonts w:hint="eastAsia"/>
              </w:rPr>
              <w:t>古陵南路</w:t>
            </w:r>
          </w:p>
        </w:tc>
        <w:tc>
          <w:tcPr>
            <w:tcW w:w="1985" w:type="dxa"/>
            <w:vAlign w:val="center"/>
          </w:tcPr>
          <w:p w14:paraId="31DA7F94">
            <w:pPr>
              <w:pStyle w:val="48"/>
            </w:pPr>
            <w:r>
              <w:rPr>
                <w:rFonts w:hint="eastAsia"/>
              </w:rPr>
              <w:t>南岭街—海口巷</w:t>
            </w:r>
          </w:p>
        </w:tc>
        <w:tc>
          <w:tcPr>
            <w:tcW w:w="1134" w:type="dxa"/>
            <w:vAlign w:val="center"/>
          </w:tcPr>
          <w:p w14:paraId="05EF02CA">
            <w:pPr>
              <w:pStyle w:val="48"/>
            </w:pPr>
            <w:r>
              <w:rPr>
                <w:rFonts w:hint="eastAsia"/>
              </w:rPr>
              <w:t>500</w:t>
            </w:r>
          </w:p>
        </w:tc>
        <w:tc>
          <w:tcPr>
            <w:tcW w:w="1134" w:type="dxa"/>
            <w:vAlign w:val="center"/>
          </w:tcPr>
          <w:p w14:paraId="6B2829C6">
            <w:pPr>
              <w:pStyle w:val="48"/>
            </w:pPr>
            <w:r>
              <w:rPr>
                <w:rFonts w:hint="eastAsia"/>
              </w:rPr>
              <w:t>16</w:t>
            </w:r>
          </w:p>
        </w:tc>
        <w:tc>
          <w:tcPr>
            <w:tcW w:w="1417" w:type="dxa"/>
            <w:vAlign w:val="center"/>
          </w:tcPr>
          <w:p w14:paraId="05C17876">
            <w:pPr>
              <w:pStyle w:val="48"/>
            </w:pPr>
            <w:r>
              <w:rPr>
                <w:rFonts w:hint="eastAsia"/>
              </w:rPr>
              <w:t>2</w:t>
            </w:r>
          </w:p>
        </w:tc>
        <w:tc>
          <w:tcPr>
            <w:tcW w:w="2434" w:type="dxa"/>
            <w:vAlign w:val="center"/>
          </w:tcPr>
          <w:p w14:paraId="4B911451">
            <w:pPr>
              <w:pStyle w:val="48"/>
            </w:pPr>
            <w:r>
              <w:rPr>
                <w:rFonts w:hint="eastAsia"/>
              </w:rPr>
              <w:t>4.5+7+4.5</w:t>
            </w:r>
          </w:p>
        </w:tc>
      </w:tr>
      <w:tr w14:paraId="7F626E9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44B680C0">
            <w:pPr>
              <w:pStyle w:val="48"/>
            </w:pPr>
          </w:p>
        </w:tc>
        <w:tc>
          <w:tcPr>
            <w:tcW w:w="1134" w:type="dxa"/>
            <w:vAlign w:val="center"/>
          </w:tcPr>
          <w:p w14:paraId="3FD5052A">
            <w:pPr>
              <w:pStyle w:val="48"/>
            </w:pPr>
            <w:r>
              <w:rPr>
                <w:rFonts w:hint="eastAsia"/>
              </w:rPr>
              <w:t>康复路</w:t>
            </w:r>
          </w:p>
        </w:tc>
        <w:tc>
          <w:tcPr>
            <w:tcW w:w="1985" w:type="dxa"/>
            <w:vAlign w:val="center"/>
          </w:tcPr>
          <w:p w14:paraId="42FFF5CF">
            <w:pPr>
              <w:pStyle w:val="48"/>
            </w:pPr>
            <w:r>
              <w:rPr>
                <w:rFonts w:hint="eastAsia"/>
              </w:rPr>
              <w:t>行颠街—文化街</w:t>
            </w:r>
          </w:p>
        </w:tc>
        <w:tc>
          <w:tcPr>
            <w:tcW w:w="1134" w:type="dxa"/>
            <w:vAlign w:val="center"/>
          </w:tcPr>
          <w:p w14:paraId="2B56A79E">
            <w:pPr>
              <w:pStyle w:val="48"/>
            </w:pPr>
            <w:r>
              <w:t>1127</w:t>
            </w:r>
          </w:p>
        </w:tc>
        <w:tc>
          <w:tcPr>
            <w:tcW w:w="1134" w:type="dxa"/>
            <w:vAlign w:val="center"/>
          </w:tcPr>
          <w:p w14:paraId="4282A3DF">
            <w:pPr>
              <w:pStyle w:val="48"/>
            </w:pPr>
            <w:r>
              <w:rPr>
                <w:rFonts w:hint="eastAsia"/>
              </w:rPr>
              <w:t>16</w:t>
            </w:r>
          </w:p>
        </w:tc>
        <w:tc>
          <w:tcPr>
            <w:tcW w:w="1417" w:type="dxa"/>
            <w:vAlign w:val="center"/>
          </w:tcPr>
          <w:p w14:paraId="2086D142">
            <w:pPr>
              <w:pStyle w:val="48"/>
            </w:pPr>
            <w:r>
              <w:rPr>
                <w:rFonts w:hint="eastAsia"/>
              </w:rPr>
              <w:t>2</w:t>
            </w:r>
          </w:p>
        </w:tc>
        <w:tc>
          <w:tcPr>
            <w:tcW w:w="2434" w:type="dxa"/>
            <w:vAlign w:val="center"/>
          </w:tcPr>
          <w:p w14:paraId="15DB8BA4">
            <w:pPr>
              <w:pStyle w:val="48"/>
            </w:pPr>
            <w:r>
              <w:rPr>
                <w:rFonts w:hint="eastAsia"/>
              </w:rPr>
              <w:t>4.5+7+4.5</w:t>
            </w:r>
          </w:p>
        </w:tc>
      </w:tr>
      <w:tr w14:paraId="749D884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655779C9">
            <w:pPr>
              <w:pStyle w:val="48"/>
            </w:pPr>
          </w:p>
        </w:tc>
        <w:tc>
          <w:tcPr>
            <w:tcW w:w="1134" w:type="dxa"/>
            <w:vAlign w:val="center"/>
          </w:tcPr>
          <w:p w14:paraId="4D468461">
            <w:pPr>
              <w:pStyle w:val="48"/>
            </w:pPr>
            <w:r>
              <w:rPr>
                <w:rFonts w:hint="eastAsia"/>
              </w:rPr>
              <w:t>清阳路</w:t>
            </w:r>
          </w:p>
        </w:tc>
        <w:tc>
          <w:tcPr>
            <w:tcW w:w="1985" w:type="dxa"/>
            <w:vAlign w:val="center"/>
          </w:tcPr>
          <w:p w14:paraId="1D46A8C9">
            <w:pPr>
              <w:pStyle w:val="48"/>
            </w:pPr>
            <w:r>
              <w:rPr>
                <w:rFonts w:hint="eastAsia"/>
              </w:rPr>
              <w:t>海口巷—黄围街</w:t>
            </w:r>
          </w:p>
        </w:tc>
        <w:tc>
          <w:tcPr>
            <w:tcW w:w="1134" w:type="dxa"/>
            <w:vAlign w:val="center"/>
          </w:tcPr>
          <w:p w14:paraId="724523D2">
            <w:pPr>
              <w:pStyle w:val="48"/>
            </w:pPr>
            <w:r>
              <w:t>726</w:t>
            </w:r>
          </w:p>
        </w:tc>
        <w:tc>
          <w:tcPr>
            <w:tcW w:w="1134" w:type="dxa"/>
            <w:vAlign w:val="center"/>
          </w:tcPr>
          <w:p w14:paraId="1C525A92">
            <w:pPr>
              <w:pStyle w:val="48"/>
            </w:pPr>
            <w:r>
              <w:rPr>
                <w:rFonts w:hint="eastAsia"/>
              </w:rPr>
              <w:t>12</w:t>
            </w:r>
          </w:p>
        </w:tc>
        <w:tc>
          <w:tcPr>
            <w:tcW w:w="1417" w:type="dxa"/>
            <w:vAlign w:val="center"/>
          </w:tcPr>
          <w:p w14:paraId="35E67DF7">
            <w:pPr>
              <w:pStyle w:val="48"/>
            </w:pPr>
            <w:r>
              <w:rPr>
                <w:rFonts w:hint="eastAsia"/>
              </w:rPr>
              <w:t>2</w:t>
            </w:r>
          </w:p>
        </w:tc>
        <w:tc>
          <w:tcPr>
            <w:tcW w:w="2434" w:type="dxa"/>
            <w:vAlign w:val="center"/>
          </w:tcPr>
          <w:p w14:paraId="7C344543">
            <w:pPr>
              <w:pStyle w:val="48"/>
            </w:pPr>
            <w:r>
              <w:rPr>
                <w:rFonts w:hint="eastAsia"/>
              </w:rPr>
              <w:t>2.5+7+2.5</w:t>
            </w:r>
          </w:p>
        </w:tc>
      </w:tr>
      <w:tr w14:paraId="57A1F09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75348C65">
            <w:pPr>
              <w:pStyle w:val="48"/>
            </w:pPr>
          </w:p>
        </w:tc>
        <w:tc>
          <w:tcPr>
            <w:tcW w:w="1134" w:type="dxa"/>
            <w:vAlign w:val="center"/>
          </w:tcPr>
          <w:p w14:paraId="3D2596CD">
            <w:pPr>
              <w:pStyle w:val="48"/>
            </w:pPr>
            <w:r>
              <w:rPr>
                <w:rFonts w:hint="eastAsia"/>
              </w:rPr>
              <w:t>文化街</w:t>
            </w:r>
          </w:p>
        </w:tc>
        <w:tc>
          <w:tcPr>
            <w:tcW w:w="1985" w:type="dxa"/>
            <w:vAlign w:val="center"/>
          </w:tcPr>
          <w:p w14:paraId="7100BD48">
            <w:pPr>
              <w:pStyle w:val="48"/>
            </w:pPr>
            <w:r>
              <w:rPr>
                <w:rFonts w:hint="eastAsia"/>
              </w:rPr>
              <w:t>陵沁线—古陵路</w:t>
            </w:r>
          </w:p>
        </w:tc>
        <w:tc>
          <w:tcPr>
            <w:tcW w:w="1134" w:type="dxa"/>
            <w:vAlign w:val="center"/>
          </w:tcPr>
          <w:p w14:paraId="3349C0DC">
            <w:pPr>
              <w:pStyle w:val="48"/>
            </w:pPr>
            <w:r>
              <w:rPr>
                <w:rFonts w:hint="eastAsia"/>
              </w:rPr>
              <w:t>1190</w:t>
            </w:r>
          </w:p>
        </w:tc>
        <w:tc>
          <w:tcPr>
            <w:tcW w:w="1134" w:type="dxa"/>
            <w:vAlign w:val="center"/>
          </w:tcPr>
          <w:p w14:paraId="29CEBB30">
            <w:pPr>
              <w:pStyle w:val="48"/>
            </w:pPr>
            <w:r>
              <w:rPr>
                <w:rFonts w:hint="eastAsia"/>
              </w:rPr>
              <w:t>16</w:t>
            </w:r>
          </w:p>
        </w:tc>
        <w:tc>
          <w:tcPr>
            <w:tcW w:w="1417" w:type="dxa"/>
            <w:vAlign w:val="center"/>
          </w:tcPr>
          <w:p w14:paraId="412FDA8C">
            <w:pPr>
              <w:pStyle w:val="48"/>
            </w:pPr>
            <w:r>
              <w:rPr>
                <w:rFonts w:hint="eastAsia"/>
              </w:rPr>
              <w:t>2</w:t>
            </w:r>
          </w:p>
        </w:tc>
        <w:tc>
          <w:tcPr>
            <w:tcW w:w="2434" w:type="dxa"/>
            <w:vAlign w:val="center"/>
          </w:tcPr>
          <w:p w14:paraId="51A14EB9">
            <w:pPr>
              <w:pStyle w:val="48"/>
            </w:pPr>
            <w:r>
              <w:rPr>
                <w:rFonts w:hint="eastAsia"/>
              </w:rPr>
              <w:t>4.5+7+4.5</w:t>
            </w:r>
          </w:p>
        </w:tc>
      </w:tr>
      <w:tr w14:paraId="47C13D0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0DEC1047">
            <w:pPr>
              <w:pStyle w:val="48"/>
            </w:pPr>
          </w:p>
        </w:tc>
        <w:tc>
          <w:tcPr>
            <w:tcW w:w="1134" w:type="dxa"/>
            <w:vAlign w:val="center"/>
          </w:tcPr>
          <w:p w14:paraId="04FCF5E5">
            <w:pPr>
              <w:pStyle w:val="48"/>
            </w:pPr>
            <w:r>
              <w:rPr>
                <w:rFonts w:hint="eastAsia"/>
              </w:rPr>
              <w:t>鸿雁街</w:t>
            </w:r>
          </w:p>
        </w:tc>
        <w:tc>
          <w:tcPr>
            <w:tcW w:w="1985" w:type="dxa"/>
            <w:vAlign w:val="center"/>
          </w:tcPr>
          <w:p w14:paraId="4592017A">
            <w:pPr>
              <w:pStyle w:val="48"/>
            </w:pPr>
            <w:r>
              <w:rPr>
                <w:rFonts w:hint="eastAsia"/>
              </w:rPr>
              <w:t>古陵路—棋山路</w:t>
            </w:r>
          </w:p>
        </w:tc>
        <w:tc>
          <w:tcPr>
            <w:tcW w:w="1134" w:type="dxa"/>
            <w:vAlign w:val="center"/>
          </w:tcPr>
          <w:p w14:paraId="2981EA5F">
            <w:pPr>
              <w:pStyle w:val="48"/>
            </w:pPr>
            <w:r>
              <w:rPr>
                <w:rFonts w:hint="eastAsia"/>
              </w:rPr>
              <w:t>1500</w:t>
            </w:r>
          </w:p>
        </w:tc>
        <w:tc>
          <w:tcPr>
            <w:tcW w:w="1134" w:type="dxa"/>
            <w:vAlign w:val="center"/>
          </w:tcPr>
          <w:p w14:paraId="5DDF3CC1">
            <w:pPr>
              <w:pStyle w:val="48"/>
            </w:pPr>
            <w:r>
              <w:rPr>
                <w:rFonts w:hint="eastAsia"/>
              </w:rPr>
              <w:t>16</w:t>
            </w:r>
          </w:p>
        </w:tc>
        <w:tc>
          <w:tcPr>
            <w:tcW w:w="1417" w:type="dxa"/>
            <w:vAlign w:val="center"/>
          </w:tcPr>
          <w:p w14:paraId="708FE634">
            <w:pPr>
              <w:pStyle w:val="48"/>
            </w:pPr>
            <w:r>
              <w:rPr>
                <w:rFonts w:hint="eastAsia"/>
              </w:rPr>
              <w:t>2</w:t>
            </w:r>
          </w:p>
        </w:tc>
        <w:tc>
          <w:tcPr>
            <w:tcW w:w="2434" w:type="dxa"/>
            <w:vAlign w:val="center"/>
          </w:tcPr>
          <w:p w14:paraId="6353BF1B">
            <w:pPr>
              <w:pStyle w:val="48"/>
            </w:pPr>
            <w:r>
              <w:rPr>
                <w:rFonts w:hint="eastAsia"/>
              </w:rPr>
              <w:t>4.5+7+4.5</w:t>
            </w:r>
          </w:p>
        </w:tc>
      </w:tr>
      <w:tr w14:paraId="312DF24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6DA24D2B">
            <w:pPr>
              <w:pStyle w:val="48"/>
            </w:pPr>
          </w:p>
        </w:tc>
        <w:tc>
          <w:tcPr>
            <w:tcW w:w="1134" w:type="dxa"/>
            <w:vAlign w:val="center"/>
          </w:tcPr>
          <w:p w14:paraId="4D2F40C1">
            <w:pPr>
              <w:pStyle w:val="48"/>
            </w:pPr>
            <w:r>
              <w:rPr>
                <w:rFonts w:hint="eastAsia"/>
              </w:rPr>
              <w:t>胜利街</w:t>
            </w:r>
          </w:p>
        </w:tc>
        <w:tc>
          <w:tcPr>
            <w:tcW w:w="1985" w:type="dxa"/>
            <w:vAlign w:val="center"/>
          </w:tcPr>
          <w:p w14:paraId="4F12D41E">
            <w:pPr>
              <w:pStyle w:val="48"/>
            </w:pPr>
            <w:r>
              <w:rPr>
                <w:rFonts w:hint="eastAsia"/>
              </w:rPr>
              <w:t>育才街—棋山路</w:t>
            </w:r>
          </w:p>
        </w:tc>
        <w:tc>
          <w:tcPr>
            <w:tcW w:w="1134" w:type="dxa"/>
            <w:vAlign w:val="center"/>
          </w:tcPr>
          <w:p w14:paraId="3E7FA3DE">
            <w:pPr>
              <w:pStyle w:val="48"/>
            </w:pPr>
            <w:r>
              <w:t>625</w:t>
            </w:r>
          </w:p>
        </w:tc>
        <w:tc>
          <w:tcPr>
            <w:tcW w:w="1134" w:type="dxa"/>
            <w:vAlign w:val="center"/>
          </w:tcPr>
          <w:p w14:paraId="781D6988">
            <w:pPr>
              <w:pStyle w:val="48"/>
            </w:pPr>
            <w:r>
              <w:rPr>
                <w:rFonts w:hint="eastAsia"/>
              </w:rPr>
              <w:t>16</w:t>
            </w:r>
          </w:p>
        </w:tc>
        <w:tc>
          <w:tcPr>
            <w:tcW w:w="1417" w:type="dxa"/>
            <w:vAlign w:val="center"/>
          </w:tcPr>
          <w:p w14:paraId="3B310B12">
            <w:pPr>
              <w:pStyle w:val="48"/>
            </w:pPr>
            <w:r>
              <w:rPr>
                <w:rFonts w:hint="eastAsia"/>
              </w:rPr>
              <w:t>2</w:t>
            </w:r>
          </w:p>
        </w:tc>
        <w:tc>
          <w:tcPr>
            <w:tcW w:w="2434" w:type="dxa"/>
            <w:vAlign w:val="center"/>
          </w:tcPr>
          <w:p w14:paraId="6B7F0822">
            <w:pPr>
              <w:pStyle w:val="48"/>
            </w:pPr>
            <w:r>
              <w:rPr>
                <w:rFonts w:hint="eastAsia"/>
              </w:rPr>
              <w:t>4.5+7+4.5</w:t>
            </w:r>
          </w:p>
        </w:tc>
      </w:tr>
      <w:tr w14:paraId="00DDAC7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02932346">
            <w:pPr>
              <w:pStyle w:val="48"/>
            </w:pPr>
          </w:p>
        </w:tc>
        <w:tc>
          <w:tcPr>
            <w:tcW w:w="1134" w:type="dxa"/>
            <w:vAlign w:val="center"/>
          </w:tcPr>
          <w:p w14:paraId="609CA0AF">
            <w:pPr>
              <w:pStyle w:val="48"/>
            </w:pPr>
            <w:r>
              <w:rPr>
                <w:rFonts w:hint="eastAsia"/>
              </w:rPr>
              <w:t>前杨路</w:t>
            </w:r>
          </w:p>
        </w:tc>
        <w:tc>
          <w:tcPr>
            <w:tcW w:w="1985" w:type="dxa"/>
            <w:vAlign w:val="center"/>
          </w:tcPr>
          <w:p w14:paraId="5C458F7A">
            <w:pPr>
              <w:pStyle w:val="48"/>
            </w:pPr>
            <w:r>
              <w:rPr>
                <w:rFonts w:hint="eastAsia"/>
              </w:rPr>
              <w:t>崇安东街—开云街</w:t>
            </w:r>
          </w:p>
        </w:tc>
        <w:tc>
          <w:tcPr>
            <w:tcW w:w="1134" w:type="dxa"/>
            <w:vAlign w:val="center"/>
          </w:tcPr>
          <w:p w14:paraId="4EE07BD4">
            <w:pPr>
              <w:pStyle w:val="48"/>
            </w:pPr>
            <w:r>
              <w:t>723</w:t>
            </w:r>
          </w:p>
        </w:tc>
        <w:tc>
          <w:tcPr>
            <w:tcW w:w="1134" w:type="dxa"/>
            <w:vAlign w:val="center"/>
          </w:tcPr>
          <w:p w14:paraId="73866F66">
            <w:pPr>
              <w:pStyle w:val="48"/>
            </w:pPr>
            <w:r>
              <w:rPr>
                <w:rFonts w:hint="eastAsia"/>
              </w:rPr>
              <w:t>16</w:t>
            </w:r>
          </w:p>
        </w:tc>
        <w:tc>
          <w:tcPr>
            <w:tcW w:w="1417" w:type="dxa"/>
            <w:vAlign w:val="center"/>
          </w:tcPr>
          <w:p w14:paraId="7894686F">
            <w:pPr>
              <w:pStyle w:val="48"/>
            </w:pPr>
            <w:r>
              <w:rPr>
                <w:rFonts w:hint="eastAsia"/>
              </w:rPr>
              <w:t>2</w:t>
            </w:r>
          </w:p>
        </w:tc>
        <w:tc>
          <w:tcPr>
            <w:tcW w:w="2434" w:type="dxa"/>
            <w:vAlign w:val="center"/>
          </w:tcPr>
          <w:p w14:paraId="6F9258B4">
            <w:pPr>
              <w:pStyle w:val="48"/>
            </w:pPr>
            <w:r>
              <w:rPr>
                <w:rFonts w:hint="eastAsia"/>
              </w:rPr>
              <w:t>4.5+7+4.5</w:t>
            </w:r>
          </w:p>
        </w:tc>
      </w:tr>
      <w:tr w14:paraId="380CF0C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040C3607">
            <w:pPr>
              <w:pStyle w:val="48"/>
            </w:pPr>
          </w:p>
        </w:tc>
        <w:tc>
          <w:tcPr>
            <w:tcW w:w="1134" w:type="dxa"/>
            <w:vAlign w:val="center"/>
          </w:tcPr>
          <w:p w14:paraId="798A7E2B">
            <w:pPr>
              <w:pStyle w:val="48"/>
            </w:pPr>
            <w:r>
              <w:rPr>
                <w:rFonts w:hint="eastAsia"/>
              </w:rPr>
              <w:t>云雁路</w:t>
            </w:r>
          </w:p>
        </w:tc>
        <w:tc>
          <w:tcPr>
            <w:tcW w:w="1985" w:type="dxa"/>
            <w:vAlign w:val="center"/>
          </w:tcPr>
          <w:p w14:paraId="5F30E6C3">
            <w:pPr>
              <w:pStyle w:val="48"/>
            </w:pPr>
            <w:r>
              <w:rPr>
                <w:rFonts w:hint="eastAsia"/>
              </w:rPr>
              <w:t>开云街—学府街</w:t>
            </w:r>
          </w:p>
        </w:tc>
        <w:tc>
          <w:tcPr>
            <w:tcW w:w="1134" w:type="dxa"/>
            <w:vAlign w:val="center"/>
          </w:tcPr>
          <w:p w14:paraId="6BC58815">
            <w:pPr>
              <w:pStyle w:val="48"/>
            </w:pPr>
            <w:r>
              <w:t>406</w:t>
            </w:r>
          </w:p>
        </w:tc>
        <w:tc>
          <w:tcPr>
            <w:tcW w:w="1134" w:type="dxa"/>
            <w:vAlign w:val="center"/>
          </w:tcPr>
          <w:p w14:paraId="0CF0E911">
            <w:pPr>
              <w:pStyle w:val="48"/>
            </w:pPr>
            <w:r>
              <w:rPr>
                <w:rFonts w:hint="eastAsia"/>
              </w:rPr>
              <w:t>12</w:t>
            </w:r>
          </w:p>
        </w:tc>
        <w:tc>
          <w:tcPr>
            <w:tcW w:w="1417" w:type="dxa"/>
            <w:vAlign w:val="center"/>
          </w:tcPr>
          <w:p w14:paraId="4A895A0C">
            <w:pPr>
              <w:pStyle w:val="48"/>
            </w:pPr>
            <w:r>
              <w:rPr>
                <w:rFonts w:hint="eastAsia"/>
              </w:rPr>
              <w:t>2</w:t>
            </w:r>
          </w:p>
        </w:tc>
        <w:tc>
          <w:tcPr>
            <w:tcW w:w="2434" w:type="dxa"/>
            <w:vAlign w:val="center"/>
          </w:tcPr>
          <w:p w14:paraId="507B055E">
            <w:pPr>
              <w:pStyle w:val="48"/>
            </w:pPr>
            <w:r>
              <w:rPr>
                <w:rFonts w:hint="eastAsia"/>
              </w:rPr>
              <w:t>2.5+7+2.5</w:t>
            </w:r>
          </w:p>
        </w:tc>
      </w:tr>
      <w:tr w14:paraId="40DCE2F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3F81117B">
            <w:pPr>
              <w:pStyle w:val="48"/>
            </w:pPr>
          </w:p>
        </w:tc>
        <w:tc>
          <w:tcPr>
            <w:tcW w:w="1134" w:type="dxa"/>
            <w:vAlign w:val="center"/>
          </w:tcPr>
          <w:p w14:paraId="02C9058E">
            <w:pPr>
              <w:pStyle w:val="48"/>
            </w:pPr>
            <w:r>
              <w:rPr>
                <w:rFonts w:hint="eastAsia"/>
              </w:rPr>
              <w:t>学府街</w:t>
            </w:r>
          </w:p>
        </w:tc>
        <w:tc>
          <w:tcPr>
            <w:tcW w:w="1985" w:type="dxa"/>
            <w:vAlign w:val="center"/>
          </w:tcPr>
          <w:p w14:paraId="314D5006">
            <w:pPr>
              <w:pStyle w:val="48"/>
            </w:pPr>
            <w:r>
              <w:rPr>
                <w:rFonts w:hint="eastAsia"/>
              </w:rPr>
              <w:t>育才街—回龙街</w:t>
            </w:r>
          </w:p>
        </w:tc>
        <w:tc>
          <w:tcPr>
            <w:tcW w:w="1134" w:type="dxa"/>
            <w:vAlign w:val="center"/>
          </w:tcPr>
          <w:p w14:paraId="342BD57D">
            <w:pPr>
              <w:pStyle w:val="48"/>
            </w:pPr>
            <w:r>
              <w:t>1299</w:t>
            </w:r>
          </w:p>
        </w:tc>
        <w:tc>
          <w:tcPr>
            <w:tcW w:w="1134" w:type="dxa"/>
            <w:vAlign w:val="center"/>
          </w:tcPr>
          <w:p w14:paraId="41E13400">
            <w:pPr>
              <w:pStyle w:val="48"/>
            </w:pPr>
            <w:r>
              <w:rPr>
                <w:rFonts w:hint="eastAsia"/>
              </w:rPr>
              <w:t>12</w:t>
            </w:r>
          </w:p>
        </w:tc>
        <w:tc>
          <w:tcPr>
            <w:tcW w:w="1417" w:type="dxa"/>
            <w:vAlign w:val="center"/>
          </w:tcPr>
          <w:p w14:paraId="09D8A982">
            <w:pPr>
              <w:pStyle w:val="48"/>
            </w:pPr>
            <w:r>
              <w:rPr>
                <w:rFonts w:hint="eastAsia"/>
              </w:rPr>
              <w:t>2</w:t>
            </w:r>
          </w:p>
        </w:tc>
        <w:tc>
          <w:tcPr>
            <w:tcW w:w="2434" w:type="dxa"/>
            <w:vAlign w:val="center"/>
          </w:tcPr>
          <w:p w14:paraId="068A0CD5">
            <w:pPr>
              <w:pStyle w:val="48"/>
            </w:pPr>
            <w:r>
              <w:rPr>
                <w:rFonts w:hint="eastAsia"/>
              </w:rPr>
              <w:t>2.5+7+2.5</w:t>
            </w:r>
          </w:p>
        </w:tc>
      </w:tr>
      <w:tr w14:paraId="5F191D9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4BDB8468">
            <w:pPr>
              <w:pStyle w:val="48"/>
            </w:pPr>
          </w:p>
        </w:tc>
        <w:tc>
          <w:tcPr>
            <w:tcW w:w="1134" w:type="dxa"/>
            <w:vAlign w:val="center"/>
          </w:tcPr>
          <w:p w14:paraId="58ED50B3">
            <w:pPr>
              <w:pStyle w:val="48"/>
            </w:pPr>
            <w:r>
              <w:rPr>
                <w:rFonts w:hint="eastAsia"/>
              </w:rPr>
              <w:t>清阳路</w:t>
            </w:r>
          </w:p>
        </w:tc>
        <w:tc>
          <w:tcPr>
            <w:tcW w:w="1985" w:type="dxa"/>
            <w:vAlign w:val="center"/>
          </w:tcPr>
          <w:p w14:paraId="26D6351C">
            <w:pPr>
              <w:pStyle w:val="48"/>
            </w:pPr>
            <w:r>
              <w:rPr>
                <w:rFonts w:hint="eastAsia"/>
              </w:rPr>
              <w:t>黄围街—望川街</w:t>
            </w:r>
          </w:p>
        </w:tc>
        <w:tc>
          <w:tcPr>
            <w:tcW w:w="1134" w:type="dxa"/>
            <w:vAlign w:val="center"/>
          </w:tcPr>
          <w:p w14:paraId="2EBEBD28">
            <w:pPr>
              <w:pStyle w:val="48"/>
            </w:pPr>
            <w:r>
              <w:t>1003</w:t>
            </w:r>
          </w:p>
        </w:tc>
        <w:tc>
          <w:tcPr>
            <w:tcW w:w="1134" w:type="dxa"/>
            <w:vAlign w:val="center"/>
          </w:tcPr>
          <w:p w14:paraId="06E81FB3">
            <w:pPr>
              <w:pStyle w:val="48"/>
            </w:pPr>
            <w:r>
              <w:rPr>
                <w:rFonts w:hint="eastAsia"/>
              </w:rPr>
              <w:t>20</w:t>
            </w:r>
          </w:p>
        </w:tc>
        <w:tc>
          <w:tcPr>
            <w:tcW w:w="1417" w:type="dxa"/>
            <w:vAlign w:val="center"/>
          </w:tcPr>
          <w:p w14:paraId="61BB9F47">
            <w:pPr>
              <w:pStyle w:val="48"/>
            </w:pPr>
            <w:r>
              <w:rPr>
                <w:rFonts w:hint="eastAsia"/>
              </w:rPr>
              <w:t>4</w:t>
            </w:r>
          </w:p>
        </w:tc>
        <w:tc>
          <w:tcPr>
            <w:tcW w:w="2434" w:type="dxa"/>
            <w:vAlign w:val="center"/>
          </w:tcPr>
          <w:p w14:paraId="2D5C1E73">
            <w:pPr>
              <w:pStyle w:val="48"/>
            </w:pPr>
            <w:r>
              <w:rPr>
                <w:rFonts w:hint="eastAsia"/>
              </w:rPr>
              <w:t>2+16+2</w:t>
            </w:r>
          </w:p>
        </w:tc>
      </w:tr>
      <w:tr w14:paraId="1F5A9F1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322E0FD7">
            <w:pPr>
              <w:pStyle w:val="48"/>
            </w:pPr>
          </w:p>
        </w:tc>
        <w:tc>
          <w:tcPr>
            <w:tcW w:w="1134" w:type="dxa"/>
            <w:vAlign w:val="center"/>
          </w:tcPr>
          <w:p w14:paraId="6FA9AC24">
            <w:pPr>
              <w:pStyle w:val="48"/>
            </w:pPr>
            <w:r>
              <w:rPr>
                <w:rFonts w:hint="eastAsia"/>
              </w:rPr>
              <w:t>步行街1</w:t>
            </w:r>
          </w:p>
        </w:tc>
        <w:tc>
          <w:tcPr>
            <w:tcW w:w="1985" w:type="dxa"/>
            <w:vAlign w:val="center"/>
          </w:tcPr>
          <w:p w14:paraId="33D49B90">
            <w:pPr>
              <w:pStyle w:val="48"/>
            </w:pPr>
            <w:r>
              <w:rPr>
                <w:rFonts w:hint="eastAsia"/>
              </w:rPr>
              <w:t>复元路—崇安东街</w:t>
            </w:r>
          </w:p>
        </w:tc>
        <w:tc>
          <w:tcPr>
            <w:tcW w:w="1134" w:type="dxa"/>
            <w:vAlign w:val="center"/>
          </w:tcPr>
          <w:p w14:paraId="26346017">
            <w:pPr>
              <w:pStyle w:val="48"/>
            </w:pPr>
            <w:r>
              <w:rPr>
                <w:rFonts w:hint="eastAsia"/>
              </w:rPr>
              <w:t>284</w:t>
            </w:r>
          </w:p>
        </w:tc>
        <w:tc>
          <w:tcPr>
            <w:tcW w:w="1134" w:type="dxa"/>
            <w:vAlign w:val="center"/>
          </w:tcPr>
          <w:p w14:paraId="660829E1">
            <w:pPr>
              <w:pStyle w:val="48"/>
            </w:pPr>
          </w:p>
        </w:tc>
        <w:tc>
          <w:tcPr>
            <w:tcW w:w="1417" w:type="dxa"/>
            <w:vAlign w:val="center"/>
          </w:tcPr>
          <w:p w14:paraId="3157E36C">
            <w:pPr>
              <w:pStyle w:val="48"/>
            </w:pPr>
          </w:p>
        </w:tc>
        <w:tc>
          <w:tcPr>
            <w:tcW w:w="2434" w:type="dxa"/>
            <w:vAlign w:val="center"/>
          </w:tcPr>
          <w:p w14:paraId="1B6CD46B">
            <w:pPr>
              <w:pStyle w:val="48"/>
            </w:pPr>
          </w:p>
        </w:tc>
      </w:tr>
      <w:tr w14:paraId="25F1A84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38F25A6A">
            <w:pPr>
              <w:pStyle w:val="48"/>
            </w:pPr>
          </w:p>
        </w:tc>
        <w:tc>
          <w:tcPr>
            <w:tcW w:w="1134" w:type="dxa"/>
            <w:vAlign w:val="center"/>
          </w:tcPr>
          <w:p w14:paraId="3B5B71E8">
            <w:pPr>
              <w:pStyle w:val="48"/>
            </w:pPr>
            <w:r>
              <w:rPr>
                <w:rFonts w:hint="eastAsia"/>
              </w:rPr>
              <w:t>步行街2</w:t>
            </w:r>
          </w:p>
        </w:tc>
        <w:tc>
          <w:tcPr>
            <w:tcW w:w="1985" w:type="dxa"/>
            <w:vAlign w:val="center"/>
          </w:tcPr>
          <w:p w14:paraId="0D6B7FE8">
            <w:pPr>
              <w:pStyle w:val="48"/>
            </w:pPr>
            <w:r>
              <w:rPr>
                <w:rFonts w:hint="eastAsia"/>
              </w:rPr>
              <w:t>康复路—紫云街</w:t>
            </w:r>
          </w:p>
        </w:tc>
        <w:tc>
          <w:tcPr>
            <w:tcW w:w="1134" w:type="dxa"/>
            <w:vAlign w:val="center"/>
          </w:tcPr>
          <w:p w14:paraId="72EB3B6B">
            <w:pPr>
              <w:pStyle w:val="48"/>
            </w:pPr>
            <w:r>
              <w:t>224</w:t>
            </w:r>
          </w:p>
        </w:tc>
        <w:tc>
          <w:tcPr>
            <w:tcW w:w="1134" w:type="dxa"/>
            <w:vAlign w:val="center"/>
          </w:tcPr>
          <w:p w14:paraId="561D25C2">
            <w:pPr>
              <w:pStyle w:val="48"/>
            </w:pPr>
          </w:p>
        </w:tc>
        <w:tc>
          <w:tcPr>
            <w:tcW w:w="1417" w:type="dxa"/>
            <w:vAlign w:val="center"/>
          </w:tcPr>
          <w:p w14:paraId="09BE74F8">
            <w:pPr>
              <w:pStyle w:val="48"/>
            </w:pPr>
          </w:p>
        </w:tc>
        <w:tc>
          <w:tcPr>
            <w:tcW w:w="2434" w:type="dxa"/>
            <w:vAlign w:val="center"/>
          </w:tcPr>
          <w:p w14:paraId="0592610C">
            <w:pPr>
              <w:pStyle w:val="48"/>
            </w:pPr>
          </w:p>
        </w:tc>
      </w:tr>
      <w:tr w14:paraId="1B9BEB9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70D34DF7">
            <w:pPr>
              <w:pStyle w:val="48"/>
            </w:pPr>
          </w:p>
        </w:tc>
        <w:tc>
          <w:tcPr>
            <w:tcW w:w="1134" w:type="dxa"/>
            <w:vAlign w:val="center"/>
          </w:tcPr>
          <w:p w14:paraId="3DBAEC82">
            <w:pPr>
              <w:pStyle w:val="48"/>
            </w:pPr>
            <w:r>
              <w:rPr>
                <w:rFonts w:hint="eastAsia"/>
              </w:rPr>
              <w:t>园区北路</w:t>
            </w:r>
          </w:p>
        </w:tc>
        <w:tc>
          <w:tcPr>
            <w:tcW w:w="1985" w:type="dxa"/>
            <w:vAlign w:val="center"/>
          </w:tcPr>
          <w:p w14:paraId="2B64D42F">
            <w:pPr>
              <w:pStyle w:val="48"/>
            </w:pPr>
            <w:r>
              <w:rPr>
                <w:rFonts w:hint="eastAsia"/>
              </w:rPr>
              <w:t>园区西路—陵沁线</w:t>
            </w:r>
          </w:p>
        </w:tc>
        <w:tc>
          <w:tcPr>
            <w:tcW w:w="1134" w:type="dxa"/>
            <w:vAlign w:val="center"/>
          </w:tcPr>
          <w:p w14:paraId="589F29FC">
            <w:pPr>
              <w:pStyle w:val="48"/>
            </w:pPr>
            <w:r>
              <w:t>1658</w:t>
            </w:r>
          </w:p>
        </w:tc>
        <w:tc>
          <w:tcPr>
            <w:tcW w:w="1134" w:type="dxa"/>
            <w:vAlign w:val="center"/>
          </w:tcPr>
          <w:p w14:paraId="4DB19DA0">
            <w:pPr>
              <w:pStyle w:val="48"/>
            </w:pPr>
            <w:r>
              <w:rPr>
                <w:rFonts w:hint="eastAsia"/>
              </w:rPr>
              <w:t>20</w:t>
            </w:r>
          </w:p>
        </w:tc>
        <w:tc>
          <w:tcPr>
            <w:tcW w:w="1417" w:type="dxa"/>
            <w:vAlign w:val="center"/>
          </w:tcPr>
          <w:p w14:paraId="1D066E4E">
            <w:pPr>
              <w:pStyle w:val="48"/>
            </w:pPr>
            <w:r>
              <w:rPr>
                <w:rFonts w:hint="eastAsia"/>
              </w:rPr>
              <w:t>4</w:t>
            </w:r>
          </w:p>
        </w:tc>
        <w:tc>
          <w:tcPr>
            <w:tcW w:w="2434" w:type="dxa"/>
            <w:vAlign w:val="center"/>
          </w:tcPr>
          <w:p w14:paraId="0B6C10B3">
            <w:pPr>
              <w:pStyle w:val="48"/>
            </w:pPr>
            <w:r>
              <w:rPr>
                <w:rFonts w:hint="eastAsia"/>
              </w:rPr>
              <w:t>2+16+2</w:t>
            </w:r>
          </w:p>
        </w:tc>
      </w:tr>
      <w:tr w14:paraId="68E5534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2BE121D5">
            <w:pPr>
              <w:pStyle w:val="48"/>
            </w:pPr>
          </w:p>
        </w:tc>
        <w:tc>
          <w:tcPr>
            <w:tcW w:w="1134" w:type="dxa"/>
            <w:vAlign w:val="center"/>
          </w:tcPr>
          <w:p w14:paraId="0D1B4104">
            <w:pPr>
              <w:pStyle w:val="48"/>
            </w:pPr>
            <w:r>
              <w:rPr>
                <w:rFonts w:hint="eastAsia"/>
              </w:rPr>
              <w:t>园区南路</w:t>
            </w:r>
          </w:p>
        </w:tc>
        <w:tc>
          <w:tcPr>
            <w:tcW w:w="1985" w:type="dxa"/>
            <w:vAlign w:val="center"/>
          </w:tcPr>
          <w:p w14:paraId="596FF4F8">
            <w:pPr>
              <w:pStyle w:val="48"/>
            </w:pPr>
            <w:r>
              <w:rPr>
                <w:rFonts w:hint="eastAsia"/>
              </w:rPr>
              <w:t>园区西街—陵沁线</w:t>
            </w:r>
          </w:p>
        </w:tc>
        <w:tc>
          <w:tcPr>
            <w:tcW w:w="1134" w:type="dxa"/>
            <w:vAlign w:val="center"/>
          </w:tcPr>
          <w:p w14:paraId="323A8A1F">
            <w:pPr>
              <w:pStyle w:val="48"/>
            </w:pPr>
            <w:r>
              <w:t>1359</w:t>
            </w:r>
          </w:p>
        </w:tc>
        <w:tc>
          <w:tcPr>
            <w:tcW w:w="1134" w:type="dxa"/>
            <w:vAlign w:val="center"/>
          </w:tcPr>
          <w:p w14:paraId="67FAA242">
            <w:pPr>
              <w:pStyle w:val="48"/>
            </w:pPr>
            <w:r>
              <w:rPr>
                <w:rFonts w:hint="eastAsia"/>
              </w:rPr>
              <w:t>20</w:t>
            </w:r>
          </w:p>
        </w:tc>
        <w:tc>
          <w:tcPr>
            <w:tcW w:w="1417" w:type="dxa"/>
            <w:vAlign w:val="center"/>
          </w:tcPr>
          <w:p w14:paraId="06D6335D">
            <w:pPr>
              <w:pStyle w:val="48"/>
            </w:pPr>
            <w:r>
              <w:rPr>
                <w:rFonts w:hint="eastAsia"/>
              </w:rPr>
              <w:t>4</w:t>
            </w:r>
          </w:p>
        </w:tc>
        <w:tc>
          <w:tcPr>
            <w:tcW w:w="2434" w:type="dxa"/>
            <w:vAlign w:val="center"/>
          </w:tcPr>
          <w:p w14:paraId="1D51977A">
            <w:pPr>
              <w:pStyle w:val="48"/>
            </w:pPr>
            <w:r>
              <w:rPr>
                <w:rFonts w:hint="eastAsia"/>
              </w:rPr>
              <w:t>2+16+2</w:t>
            </w:r>
          </w:p>
        </w:tc>
      </w:tr>
      <w:tr w14:paraId="6DD237E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4070BEEE">
            <w:pPr>
              <w:pStyle w:val="48"/>
            </w:pPr>
          </w:p>
        </w:tc>
        <w:tc>
          <w:tcPr>
            <w:tcW w:w="1134" w:type="dxa"/>
            <w:vAlign w:val="center"/>
          </w:tcPr>
          <w:p w14:paraId="291F7C04">
            <w:pPr>
              <w:pStyle w:val="48"/>
            </w:pPr>
            <w:r>
              <w:rPr>
                <w:rFonts w:hint="eastAsia"/>
              </w:rPr>
              <w:t>园区西街</w:t>
            </w:r>
          </w:p>
        </w:tc>
        <w:tc>
          <w:tcPr>
            <w:tcW w:w="1985" w:type="dxa"/>
            <w:vAlign w:val="center"/>
          </w:tcPr>
          <w:p w14:paraId="05A6ECF8">
            <w:pPr>
              <w:pStyle w:val="48"/>
              <w:rPr>
                <w:spacing w:val="-14"/>
                <w:w w:val="97"/>
              </w:rPr>
            </w:pPr>
            <w:r>
              <w:rPr>
                <w:rFonts w:hint="eastAsia"/>
                <w:spacing w:val="-14"/>
                <w:w w:val="97"/>
              </w:rPr>
              <w:t>园区北路—园区南路</w:t>
            </w:r>
          </w:p>
        </w:tc>
        <w:tc>
          <w:tcPr>
            <w:tcW w:w="1134" w:type="dxa"/>
            <w:vAlign w:val="center"/>
          </w:tcPr>
          <w:p w14:paraId="3565F3FC">
            <w:pPr>
              <w:pStyle w:val="48"/>
            </w:pPr>
            <w:r>
              <w:t>292</w:t>
            </w:r>
          </w:p>
        </w:tc>
        <w:tc>
          <w:tcPr>
            <w:tcW w:w="1134" w:type="dxa"/>
            <w:vAlign w:val="center"/>
          </w:tcPr>
          <w:p w14:paraId="2F903A6B">
            <w:pPr>
              <w:pStyle w:val="48"/>
            </w:pPr>
            <w:r>
              <w:rPr>
                <w:rFonts w:hint="eastAsia"/>
              </w:rPr>
              <w:t>20</w:t>
            </w:r>
          </w:p>
        </w:tc>
        <w:tc>
          <w:tcPr>
            <w:tcW w:w="1417" w:type="dxa"/>
            <w:vAlign w:val="center"/>
          </w:tcPr>
          <w:p w14:paraId="449FEC89">
            <w:pPr>
              <w:pStyle w:val="48"/>
            </w:pPr>
            <w:r>
              <w:rPr>
                <w:rFonts w:hint="eastAsia"/>
              </w:rPr>
              <w:t>4</w:t>
            </w:r>
          </w:p>
        </w:tc>
        <w:tc>
          <w:tcPr>
            <w:tcW w:w="2434" w:type="dxa"/>
            <w:vAlign w:val="center"/>
          </w:tcPr>
          <w:p w14:paraId="661033C5">
            <w:pPr>
              <w:pStyle w:val="48"/>
            </w:pPr>
            <w:r>
              <w:rPr>
                <w:rFonts w:hint="eastAsia"/>
              </w:rPr>
              <w:t>2+16+2</w:t>
            </w:r>
          </w:p>
        </w:tc>
      </w:tr>
      <w:tr w14:paraId="4B311F2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340" w:hRule="atLeast"/>
          <w:jc w:val="center"/>
        </w:trPr>
        <w:tc>
          <w:tcPr>
            <w:tcW w:w="709" w:type="dxa"/>
            <w:vMerge w:val="continue"/>
            <w:vAlign w:val="center"/>
          </w:tcPr>
          <w:p w14:paraId="6B2668FB">
            <w:pPr>
              <w:pStyle w:val="48"/>
            </w:pPr>
          </w:p>
        </w:tc>
        <w:tc>
          <w:tcPr>
            <w:tcW w:w="1134" w:type="dxa"/>
            <w:vAlign w:val="center"/>
          </w:tcPr>
          <w:p w14:paraId="4931F96B">
            <w:pPr>
              <w:pStyle w:val="48"/>
            </w:pPr>
            <w:r>
              <w:rPr>
                <w:rFonts w:hint="eastAsia"/>
              </w:rPr>
              <w:t>园区街</w:t>
            </w:r>
          </w:p>
        </w:tc>
        <w:tc>
          <w:tcPr>
            <w:tcW w:w="1985" w:type="dxa"/>
            <w:vAlign w:val="center"/>
          </w:tcPr>
          <w:p w14:paraId="4D0289DB">
            <w:pPr>
              <w:pStyle w:val="48"/>
              <w:rPr>
                <w:spacing w:val="-14"/>
                <w:w w:val="97"/>
              </w:rPr>
            </w:pPr>
            <w:r>
              <w:rPr>
                <w:rFonts w:hint="eastAsia"/>
                <w:spacing w:val="-14"/>
                <w:w w:val="97"/>
              </w:rPr>
              <w:t>园区北路—园区南路</w:t>
            </w:r>
          </w:p>
        </w:tc>
        <w:tc>
          <w:tcPr>
            <w:tcW w:w="1134" w:type="dxa"/>
            <w:vAlign w:val="center"/>
          </w:tcPr>
          <w:p w14:paraId="02B4D524">
            <w:pPr>
              <w:pStyle w:val="48"/>
            </w:pPr>
            <w:r>
              <w:rPr>
                <w:rFonts w:hint="eastAsia"/>
              </w:rPr>
              <w:t>296</w:t>
            </w:r>
          </w:p>
        </w:tc>
        <w:tc>
          <w:tcPr>
            <w:tcW w:w="1134" w:type="dxa"/>
            <w:vAlign w:val="center"/>
          </w:tcPr>
          <w:p w14:paraId="43DA5B8E">
            <w:pPr>
              <w:pStyle w:val="48"/>
            </w:pPr>
            <w:r>
              <w:rPr>
                <w:rFonts w:hint="eastAsia"/>
              </w:rPr>
              <w:t>20</w:t>
            </w:r>
          </w:p>
        </w:tc>
        <w:tc>
          <w:tcPr>
            <w:tcW w:w="1417" w:type="dxa"/>
            <w:vAlign w:val="center"/>
          </w:tcPr>
          <w:p w14:paraId="199A0FD3">
            <w:pPr>
              <w:pStyle w:val="48"/>
            </w:pPr>
            <w:r>
              <w:rPr>
                <w:rFonts w:hint="eastAsia"/>
              </w:rPr>
              <w:t>4</w:t>
            </w:r>
          </w:p>
        </w:tc>
        <w:tc>
          <w:tcPr>
            <w:tcW w:w="2434" w:type="dxa"/>
            <w:vAlign w:val="center"/>
          </w:tcPr>
          <w:p w14:paraId="1B3E6028">
            <w:pPr>
              <w:pStyle w:val="48"/>
            </w:pPr>
            <w:r>
              <w:rPr>
                <w:rFonts w:hint="eastAsia"/>
              </w:rPr>
              <w:t>2+16+2</w:t>
            </w:r>
          </w:p>
        </w:tc>
      </w:tr>
      <w:tr w14:paraId="77A6BA3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18F1FB16">
            <w:pPr>
              <w:pStyle w:val="48"/>
            </w:pPr>
          </w:p>
        </w:tc>
        <w:tc>
          <w:tcPr>
            <w:tcW w:w="1134" w:type="dxa"/>
            <w:vAlign w:val="center"/>
          </w:tcPr>
          <w:p w14:paraId="4F3644F4">
            <w:pPr>
              <w:pStyle w:val="48"/>
            </w:pPr>
            <w:r>
              <w:rPr>
                <w:rFonts w:hint="eastAsia"/>
              </w:rPr>
              <w:t>园区东街</w:t>
            </w:r>
          </w:p>
        </w:tc>
        <w:tc>
          <w:tcPr>
            <w:tcW w:w="1985" w:type="dxa"/>
            <w:vAlign w:val="center"/>
          </w:tcPr>
          <w:p w14:paraId="4B98158D">
            <w:pPr>
              <w:pStyle w:val="48"/>
              <w:rPr>
                <w:spacing w:val="-14"/>
                <w:w w:val="97"/>
              </w:rPr>
            </w:pPr>
            <w:r>
              <w:rPr>
                <w:rFonts w:hint="eastAsia"/>
                <w:spacing w:val="-14"/>
                <w:w w:val="97"/>
              </w:rPr>
              <w:t>园区北路—园区南路</w:t>
            </w:r>
          </w:p>
        </w:tc>
        <w:tc>
          <w:tcPr>
            <w:tcW w:w="1134" w:type="dxa"/>
            <w:vAlign w:val="center"/>
          </w:tcPr>
          <w:p w14:paraId="23976488">
            <w:pPr>
              <w:pStyle w:val="48"/>
            </w:pPr>
            <w:r>
              <w:rPr>
                <w:rFonts w:hint="eastAsia"/>
              </w:rPr>
              <w:t>216</w:t>
            </w:r>
          </w:p>
        </w:tc>
        <w:tc>
          <w:tcPr>
            <w:tcW w:w="1134" w:type="dxa"/>
            <w:vAlign w:val="center"/>
          </w:tcPr>
          <w:p w14:paraId="171ED7C3">
            <w:pPr>
              <w:pStyle w:val="48"/>
            </w:pPr>
            <w:r>
              <w:rPr>
                <w:rFonts w:hint="eastAsia"/>
              </w:rPr>
              <w:t>20</w:t>
            </w:r>
          </w:p>
        </w:tc>
        <w:tc>
          <w:tcPr>
            <w:tcW w:w="1417" w:type="dxa"/>
            <w:vAlign w:val="center"/>
          </w:tcPr>
          <w:p w14:paraId="71C6928F">
            <w:pPr>
              <w:pStyle w:val="48"/>
            </w:pPr>
            <w:r>
              <w:rPr>
                <w:rFonts w:hint="eastAsia"/>
              </w:rPr>
              <w:t>4</w:t>
            </w:r>
          </w:p>
        </w:tc>
        <w:tc>
          <w:tcPr>
            <w:tcW w:w="2434" w:type="dxa"/>
            <w:vAlign w:val="center"/>
          </w:tcPr>
          <w:p w14:paraId="7E392DD7">
            <w:pPr>
              <w:pStyle w:val="48"/>
            </w:pPr>
            <w:r>
              <w:rPr>
                <w:rFonts w:hint="eastAsia"/>
              </w:rPr>
              <w:t>2+16+2</w:t>
            </w:r>
          </w:p>
        </w:tc>
      </w:tr>
      <w:tr w14:paraId="037C751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restart"/>
            <w:vAlign w:val="center"/>
          </w:tcPr>
          <w:p w14:paraId="0CD10E68">
            <w:pPr>
              <w:pStyle w:val="48"/>
            </w:pPr>
            <w:r>
              <w:rPr>
                <w:rFonts w:hint="eastAsia"/>
              </w:rPr>
              <w:t>外</w:t>
            </w:r>
          </w:p>
          <w:p w14:paraId="10105E09">
            <w:pPr>
              <w:pStyle w:val="48"/>
            </w:pPr>
            <w:r>
              <w:rPr>
                <w:rFonts w:hint="eastAsia"/>
              </w:rPr>
              <w:t>环</w:t>
            </w:r>
          </w:p>
          <w:p w14:paraId="3CB6E2D8">
            <w:pPr>
              <w:pStyle w:val="48"/>
            </w:pPr>
            <w:r>
              <w:rPr>
                <w:rFonts w:hint="eastAsia"/>
              </w:rPr>
              <w:t>路</w:t>
            </w:r>
          </w:p>
        </w:tc>
        <w:tc>
          <w:tcPr>
            <w:tcW w:w="1134" w:type="dxa"/>
            <w:vAlign w:val="center"/>
          </w:tcPr>
          <w:p w14:paraId="20C58314">
            <w:pPr>
              <w:pStyle w:val="48"/>
            </w:pPr>
            <w:r>
              <w:rPr>
                <w:rFonts w:hint="eastAsia"/>
              </w:rPr>
              <w:t>北环路</w:t>
            </w:r>
          </w:p>
        </w:tc>
        <w:tc>
          <w:tcPr>
            <w:tcW w:w="1985" w:type="dxa"/>
            <w:vAlign w:val="center"/>
          </w:tcPr>
          <w:p w14:paraId="4B4EA62F">
            <w:pPr>
              <w:pStyle w:val="48"/>
            </w:pPr>
            <w:r>
              <w:rPr>
                <w:rFonts w:hint="eastAsia"/>
              </w:rPr>
              <w:t>陵沁线—棋山路</w:t>
            </w:r>
          </w:p>
        </w:tc>
        <w:tc>
          <w:tcPr>
            <w:tcW w:w="1134" w:type="dxa"/>
            <w:vAlign w:val="center"/>
          </w:tcPr>
          <w:p w14:paraId="221EE5B2">
            <w:pPr>
              <w:pStyle w:val="48"/>
            </w:pPr>
            <w:r>
              <w:rPr>
                <w:rFonts w:hint="eastAsia"/>
              </w:rPr>
              <w:t>1755</w:t>
            </w:r>
          </w:p>
        </w:tc>
        <w:tc>
          <w:tcPr>
            <w:tcW w:w="1134" w:type="dxa"/>
            <w:vAlign w:val="center"/>
          </w:tcPr>
          <w:p w14:paraId="30F5B1FC">
            <w:pPr>
              <w:pStyle w:val="48"/>
            </w:pPr>
            <w:r>
              <w:rPr>
                <w:rFonts w:hint="eastAsia"/>
              </w:rPr>
              <w:t>24</w:t>
            </w:r>
          </w:p>
        </w:tc>
        <w:tc>
          <w:tcPr>
            <w:tcW w:w="1417" w:type="dxa"/>
            <w:vAlign w:val="center"/>
          </w:tcPr>
          <w:p w14:paraId="35FFA4AA">
            <w:pPr>
              <w:pStyle w:val="48"/>
            </w:pPr>
            <w:r>
              <w:rPr>
                <w:rFonts w:hint="eastAsia"/>
              </w:rPr>
              <w:t>4</w:t>
            </w:r>
          </w:p>
        </w:tc>
        <w:tc>
          <w:tcPr>
            <w:tcW w:w="2434" w:type="dxa"/>
            <w:vAlign w:val="center"/>
          </w:tcPr>
          <w:p w14:paraId="1CB9755C">
            <w:pPr>
              <w:pStyle w:val="48"/>
            </w:pPr>
            <w:r>
              <w:rPr>
                <w:rFonts w:hint="eastAsia"/>
              </w:rPr>
              <w:t>5+14+5</w:t>
            </w:r>
          </w:p>
        </w:tc>
      </w:tr>
      <w:tr w14:paraId="76DA8F6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6D05894A">
            <w:pPr>
              <w:pStyle w:val="48"/>
            </w:pPr>
          </w:p>
        </w:tc>
        <w:tc>
          <w:tcPr>
            <w:tcW w:w="1134" w:type="dxa"/>
            <w:vAlign w:val="center"/>
          </w:tcPr>
          <w:p w14:paraId="0188BF74">
            <w:pPr>
              <w:pStyle w:val="48"/>
            </w:pPr>
            <w:r>
              <w:rPr>
                <w:rFonts w:hint="eastAsia"/>
              </w:rPr>
              <w:t>棋山路</w:t>
            </w:r>
          </w:p>
        </w:tc>
        <w:tc>
          <w:tcPr>
            <w:tcW w:w="1985" w:type="dxa"/>
            <w:vAlign w:val="center"/>
          </w:tcPr>
          <w:p w14:paraId="324A36DB">
            <w:pPr>
              <w:pStyle w:val="48"/>
            </w:pPr>
            <w:r>
              <w:rPr>
                <w:rFonts w:hint="eastAsia"/>
              </w:rPr>
              <w:t>陵沁线—黄围街</w:t>
            </w:r>
          </w:p>
        </w:tc>
        <w:tc>
          <w:tcPr>
            <w:tcW w:w="1134" w:type="dxa"/>
            <w:vAlign w:val="center"/>
          </w:tcPr>
          <w:p w14:paraId="7CB07E84">
            <w:pPr>
              <w:pStyle w:val="48"/>
            </w:pPr>
            <w:r>
              <w:t>3566</w:t>
            </w:r>
          </w:p>
        </w:tc>
        <w:tc>
          <w:tcPr>
            <w:tcW w:w="1134" w:type="dxa"/>
            <w:vAlign w:val="center"/>
          </w:tcPr>
          <w:p w14:paraId="193CFF2C">
            <w:pPr>
              <w:pStyle w:val="48"/>
            </w:pPr>
            <w:r>
              <w:rPr>
                <w:rFonts w:hint="eastAsia"/>
              </w:rPr>
              <w:t>24</w:t>
            </w:r>
          </w:p>
        </w:tc>
        <w:tc>
          <w:tcPr>
            <w:tcW w:w="1417" w:type="dxa"/>
            <w:vAlign w:val="center"/>
          </w:tcPr>
          <w:p w14:paraId="6AE73934">
            <w:pPr>
              <w:pStyle w:val="48"/>
            </w:pPr>
            <w:r>
              <w:rPr>
                <w:rFonts w:hint="eastAsia"/>
              </w:rPr>
              <w:t>4</w:t>
            </w:r>
          </w:p>
        </w:tc>
        <w:tc>
          <w:tcPr>
            <w:tcW w:w="2434" w:type="dxa"/>
            <w:vAlign w:val="center"/>
          </w:tcPr>
          <w:p w14:paraId="2658F9A8">
            <w:pPr>
              <w:pStyle w:val="48"/>
            </w:pPr>
            <w:r>
              <w:rPr>
                <w:rFonts w:hint="eastAsia"/>
              </w:rPr>
              <w:t>5+14+5</w:t>
            </w:r>
          </w:p>
        </w:tc>
      </w:tr>
      <w:tr w14:paraId="52E2EAD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717A50B6">
            <w:pPr>
              <w:pStyle w:val="48"/>
            </w:pPr>
          </w:p>
        </w:tc>
        <w:tc>
          <w:tcPr>
            <w:tcW w:w="1134" w:type="dxa"/>
            <w:vAlign w:val="center"/>
          </w:tcPr>
          <w:p w14:paraId="4F498BF3">
            <w:pPr>
              <w:pStyle w:val="48"/>
            </w:pPr>
            <w:r>
              <w:rPr>
                <w:rFonts w:hint="eastAsia"/>
              </w:rPr>
              <w:t>棋山路</w:t>
            </w:r>
          </w:p>
        </w:tc>
        <w:tc>
          <w:tcPr>
            <w:tcW w:w="1985" w:type="dxa"/>
            <w:vAlign w:val="center"/>
          </w:tcPr>
          <w:p w14:paraId="64DBB153">
            <w:pPr>
              <w:pStyle w:val="48"/>
            </w:pPr>
            <w:r>
              <w:rPr>
                <w:rFonts w:hint="eastAsia"/>
              </w:rPr>
              <w:t>陵沁线—黄围街</w:t>
            </w:r>
          </w:p>
        </w:tc>
        <w:tc>
          <w:tcPr>
            <w:tcW w:w="1134" w:type="dxa"/>
            <w:vAlign w:val="center"/>
          </w:tcPr>
          <w:p w14:paraId="5DEA94BE">
            <w:pPr>
              <w:pStyle w:val="48"/>
            </w:pPr>
            <w:r>
              <w:rPr>
                <w:rFonts w:hint="eastAsia"/>
              </w:rPr>
              <w:t>1144</w:t>
            </w:r>
          </w:p>
        </w:tc>
        <w:tc>
          <w:tcPr>
            <w:tcW w:w="1134" w:type="dxa"/>
            <w:vAlign w:val="center"/>
          </w:tcPr>
          <w:p w14:paraId="6A5F180B">
            <w:pPr>
              <w:pStyle w:val="48"/>
            </w:pPr>
            <w:r>
              <w:rPr>
                <w:rFonts w:hint="eastAsia"/>
              </w:rPr>
              <w:t>42</w:t>
            </w:r>
          </w:p>
        </w:tc>
        <w:tc>
          <w:tcPr>
            <w:tcW w:w="1417" w:type="dxa"/>
            <w:vAlign w:val="center"/>
          </w:tcPr>
          <w:p w14:paraId="5883DCE4">
            <w:pPr>
              <w:pStyle w:val="48"/>
            </w:pPr>
            <w:r>
              <w:rPr>
                <w:rFonts w:hint="eastAsia"/>
              </w:rPr>
              <w:t>4</w:t>
            </w:r>
          </w:p>
        </w:tc>
        <w:tc>
          <w:tcPr>
            <w:tcW w:w="2434" w:type="dxa"/>
            <w:vAlign w:val="center"/>
          </w:tcPr>
          <w:p w14:paraId="0B672BC0">
            <w:pPr>
              <w:pStyle w:val="48"/>
            </w:pPr>
            <w:r>
              <w:rPr>
                <w:rFonts w:hint="eastAsia"/>
              </w:rPr>
              <w:t>6+6+1.5+15+1.5+6+6</w:t>
            </w:r>
          </w:p>
        </w:tc>
      </w:tr>
      <w:tr w14:paraId="4B23D36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Merge w:val="continue"/>
            <w:vAlign w:val="center"/>
          </w:tcPr>
          <w:p w14:paraId="69574AE1">
            <w:pPr>
              <w:pStyle w:val="48"/>
            </w:pPr>
          </w:p>
        </w:tc>
        <w:tc>
          <w:tcPr>
            <w:tcW w:w="1134" w:type="dxa"/>
            <w:vAlign w:val="center"/>
          </w:tcPr>
          <w:p w14:paraId="014CEFB2">
            <w:pPr>
              <w:pStyle w:val="48"/>
            </w:pPr>
            <w:r>
              <w:rPr>
                <w:rFonts w:hint="eastAsia"/>
              </w:rPr>
              <w:t>望川街</w:t>
            </w:r>
          </w:p>
        </w:tc>
        <w:tc>
          <w:tcPr>
            <w:tcW w:w="1985" w:type="dxa"/>
            <w:vAlign w:val="center"/>
          </w:tcPr>
          <w:p w14:paraId="731E5B14">
            <w:pPr>
              <w:pStyle w:val="48"/>
            </w:pPr>
            <w:r>
              <w:rPr>
                <w:rFonts w:hint="eastAsia"/>
              </w:rPr>
              <w:t>陵沁线—棋山路</w:t>
            </w:r>
          </w:p>
        </w:tc>
        <w:tc>
          <w:tcPr>
            <w:tcW w:w="1134" w:type="dxa"/>
            <w:vAlign w:val="center"/>
          </w:tcPr>
          <w:p w14:paraId="2F863481">
            <w:pPr>
              <w:pStyle w:val="48"/>
            </w:pPr>
            <w:r>
              <w:t>2213</w:t>
            </w:r>
          </w:p>
        </w:tc>
        <w:tc>
          <w:tcPr>
            <w:tcW w:w="1134" w:type="dxa"/>
            <w:vAlign w:val="center"/>
          </w:tcPr>
          <w:p w14:paraId="14652260">
            <w:pPr>
              <w:pStyle w:val="48"/>
            </w:pPr>
            <w:r>
              <w:rPr>
                <w:rFonts w:hint="eastAsia"/>
              </w:rPr>
              <w:t>42</w:t>
            </w:r>
          </w:p>
        </w:tc>
        <w:tc>
          <w:tcPr>
            <w:tcW w:w="1417" w:type="dxa"/>
            <w:vAlign w:val="center"/>
          </w:tcPr>
          <w:p w14:paraId="643A3711">
            <w:pPr>
              <w:pStyle w:val="48"/>
            </w:pPr>
            <w:r>
              <w:rPr>
                <w:rFonts w:hint="eastAsia"/>
              </w:rPr>
              <w:t>4</w:t>
            </w:r>
          </w:p>
        </w:tc>
        <w:tc>
          <w:tcPr>
            <w:tcW w:w="2434" w:type="dxa"/>
            <w:vAlign w:val="center"/>
          </w:tcPr>
          <w:p w14:paraId="23C7D077">
            <w:pPr>
              <w:pStyle w:val="48"/>
            </w:pPr>
            <w:r>
              <w:rPr>
                <w:rFonts w:hint="eastAsia"/>
              </w:rPr>
              <w:t>6+6+1.5+15+1.5+6+6</w:t>
            </w:r>
          </w:p>
        </w:tc>
      </w:tr>
      <w:tr w14:paraId="5C37521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9" w:type="dxa"/>
            <w:vAlign w:val="center"/>
          </w:tcPr>
          <w:p w14:paraId="7C11606C">
            <w:pPr>
              <w:pStyle w:val="48"/>
            </w:pPr>
            <w:r>
              <w:rPr>
                <w:rFonts w:hint="eastAsia"/>
              </w:rPr>
              <w:t>外部公路</w:t>
            </w:r>
          </w:p>
        </w:tc>
        <w:tc>
          <w:tcPr>
            <w:tcW w:w="1134" w:type="dxa"/>
            <w:vAlign w:val="center"/>
          </w:tcPr>
          <w:p w14:paraId="0D4A3A06">
            <w:pPr>
              <w:pStyle w:val="48"/>
            </w:pPr>
            <w:r>
              <w:rPr>
                <w:rFonts w:hint="eastAsia"/>
              </w:rPr>
              <w:t>陵沁线</w:t>
            </w:r>
          </w:p>
        </w:tc>
        <w:tc>
          <w:tcPr>
            <w:tcW w:w="1985" w:type="dxa"/>
            <w:vAlign w:val="center"/>
          </w:tcPr>
          <w:p w14:paraId="5B18191B">
            <w:pPr>
              <w:pStyle w:val="48"/>
            </w:pPr>
            <w:r>
              <w:rPr>
                <w:rFonts w:hint="eastAsia"/>
              </w:rPr>
              <w:t>北环路—后川街</w:t>
            </w:r>
          </w:p>
        </w:tc>
        <w:tc>
          <w:tcPr>
            <w:tcW w:w="1134" w:type="dxa"/>
            <w:vAlign w:val="center"/>
          </w:tcPr>
          <w:p w14:paraId="66B9E71A">
            <w:pPr>
              <w:pStyle w:val="48"/>
            </w:pPr>
            <w:r>
              <w:rPr>
                <w:rFonts w:hint="eastAsia"/>
              </w:rPr>
              <w:t>6926</w:t>
            </w:r>
          </w:p>
        </w:tc>
        <w:tc>
          <w:tcPr>
            <w:tcW w:w="1134" w:type="dxa"/>
            <w:vAlign w:val="center"/>
          </w:tcPr>
          <w:p w14:paraId="195C08DA">
            <w:pPr>
              <w:pStyle w:val="48"/>
            </w:pPr>
            <w:r>
              <w:rPr>
                <w:rFonts w:hint="eastAsia"/>
              </w:rPr>
              <w:t>20</w:t>
            </w:r>
          </w:p>
        </w:tc>
        <w:tc>
          <w:tcPr>
            <w:tcW w:w="1417" w:type="dxa"/>
            <w:vAlign w:val="center"/>
          </w:tcPr>
          <w:p w14:paraId="0F89D38E">
            <w:pPr>
              <w:pStyle w:val="48"/>
            </w:pPr>
            <w:r>
              <w:rPr>
                <w:rFonts w:hint="eastAsia"/>
              </w:rPr>
              <w:t>4</w:t>
            </w:r>
          </w:p>
        </w:tc>
        <w:tc>
          <w:tcPr>
            <w:tcW w:w="2434" w:type="dxa"/>
            <w:vAlign w:val="center"/>
          </w:tcPr>
          <w:p w14:paraId="081CE1AF">
            <w:pPr>
              <w:pStyle w:val="48"/>
            </w:pPr>
            <w:r>
              <w:rPr>
                <w:rFonts w:hint="eastAsia"/>
              </w:rPr>
              <w:t>2+14+2</w:t>
            </w:r>
          </w:p>
        </w:tc>
      </w:tr>
    </w:tbl>
    <w:p w14:paraId="0525DD3F">
      <w:pPr>
        <w:pStyle w:val="38"/>
        <w:numPr>
          <w:ilvl w:val="0"/>
          <w:numId w:val="7"/>
        </w:numPr>
        <w:spacing w:before="0" w:beforeLines="0" w:after="0" w:afterLines="0" w:line="550" w:lineRule="exact"/>
        <w:rPr>
          <w:rFonts w:ascii="黑体" w:hAnsi="黑体"/>
          <w:b/>
        </w:rPr>
      </w:pPr>
      <w:bookmarkStart w:id="34" w:name="_Toc528317033"/>
      <w:r>
        <w:rPr>
          <w:rFonts w:hint="eastAsia" w:ascii="黑体" w:hAnsi="黑体"/>
          <w:b/>
        </w:rPr>
        <w:t>道路用地</w:t>
      </w:r>
      <w:bookmarkEnd w:id="34"/>
    </w:p>
    <w:p w14:paraId="3E6AF9B9">
      <w:pPr>
        <w:pStyle w:val="5"/>
        <w:spacing w:line="550" w:lineRule="exact"/>
        <w:ind w:firstLine="560"/>
        <w:rPr>
          <w:rFonts w:ascii="宋体" w:hAnsi="宋体"/>
          <w:sz w:val="28"/>
          <w:szCs w:val="28"/>
        </w:rPr>
      </w:pPr>
      <w:r>
        <w:rPr>
          <w:rFonts w:hint="eastAsia" w:ascii="宋体" w:hAnsi="宋体"/>
          <w:sz w:val="28"/>
          <w:szCs w:val="28"/>
        </w:rPr>
        <w:t>道路红线和建筑红线之间的用地，主要做绿化用地，局部地段可作为自行车场及铺设地下管线之用，任何单位不得占用。</w:t>
      </w:r>
    </w:p>
    <w:p w14:paraId="3CC2E880">
      <w:pPr>
        <w:pStyle w:val="38"/>
        <w:numPr>
          <w:ilvl w:val="0"/>
          <w:numId w:val="7"/>
        </w:numPr>
        <w:spacing w:before="0" w:beforeLines="0" w:after="0" w:afterLines="0" w:line="550" w:lineRule="exact"/>
        <w:rPr>
          <w:rFonts w:ascii="黑体" w:hAnsi="黑体"/>
          <w:b/>
        </w:rPr>
      </w:pPr>
      <w:bookmarkStart w:id="35" w:name="_Toc528317034"/>
      <w:r>
        <w:rPr>
          <w:rFonts w:hint="eastAsia" w:ascii="黑体" w:hAnsi="黑体"/>
          <w:b/>
        </w:rPr>
        <w:t>交通设施</w:t>
      </w:r>
      <w:bookmarkEnd w:id="35"/>
    </w:p>
    <w:p w14:paraId="6AC8A37D">
      <w:pPr>
        <w:pStyle w:val="5"/>
        <w:spacing w:line="550" w:lineRule="exact"/>
        <w:ind w:firstLine="560"/>
        <w:rPr>
          <w:rFonts w:ascii="宋体" w:hAnsi="宋体"/>
          <w:sz w:val="28"/>
          <w:szCs w:val="28"/>
        </w:rPr>
      </w:pPr>
      <w:r>
        <w:rPr>
          <w:rFonts w:ascii="宋体" w:hAnsi="宋体"/>
          <w:sz w:val="28"/>
          <w:szCs w:val="28"/>
        </w:rPr>
        <w:t>(</w:t>
      </w:r>
      <w:r>
        <w:rPr>
          <w:rFonts w:hint="eastAsia" w:ascii="宋体" w:hAnsi="宋体"/>
          <w:sz w:val="28"/>
          <w:szCs w:val="28"/>
        </w:rPr>
        <w:t>一</w:t>
      </w:r>
      <w:r>
        <w:rPr>
          <w:rFonts w:ascii="宋体" w:hAnsi="宋体"/>
          <w:sz w:val="28"/>
          <w:szCs w:val="28"/>
        </w:rPr>
        <w:t>)</w:t>
      </w:r>
      <w:r>
        <w:rPr>
          <w:rFonts w:hint="eastAsia" w:ascii="宋体" w:hAnsi="宋体"/>
          <w:sz w:val="28"/>
          <w:szCs w:val="28"/>
        </w:rPr>
        <w:t>社会停车场</w:t>
      </w:r>
    </w:p>
    <w:p w14:paraId="5F77E00A">
      <w:pPr>
        <w:pStyle w:val="5"/>
        <w:spacing w:line="550" w:lineRule="exact"/>
        <w:ind w:firstLine="560"/>
        <w:rPr>
          <w:rFonts w:ascii="宋体" w:hAnsi="宋体"/>
          <w:sz w:val="28"/>
          <w:szCs w:val="28"/>
        </w:rPr>
      </w:pPr>
      <w:r>
        <w:rPr>
          <w:rFonts w:hint="eastAsia" w:ascii="宋体" w:hAnsi="宋体"/>
          <w:sz w:val="28"/>
          <w:szCs w:val="28"/>
        </w:rPr>
        <w:t>1、选址原则</w:t>
      </w:r>
    </w:p>
    <w:p w14:paraId="564B545F">
      <w:pPr>
        <w:pStyle w:val="5"/>
        <w:spacing w:line="550" w:lineRule="exact"/>
        <w:ind w:firstLine="560"/>
        <w:rPr>
          <w:rFonts w:ascii="宋体" w:hAnsi="宋体"/>
          <w:sz w:val="28"/>
          <w:szCs w:val="28"/>
        </w:rPr>
      </w:pPr>
      <w:r>
        <w:rPr>
          <w:rFonts w:hint="eastAsia" w:ascii="宋体" w:hAnsi="宋体"/>
          <w:sz w:val="28"/>
          <w:szCs w:val="28"/>
        </w:rPr>
        <w:t>中心城区的停车场集中布置在容积率较高、建筑密度较大古陵路、梅园街、黄围街等路段，多为公共设施用地、行政办公用地以及商住用地</w:t>
      </w:r>
      <w:r>
        <w:rPr>
          <w:rFonts w:ascii="宋体" w:hAnsi="宋体"/>
          <w:sz w:val="28"/>
          <w:szCs w:val="28"/>
        </w:rPr>
        <w:t>,</w:t>
      </w:r>
      <w:r>
        <w:rPr>
          <w:rFonts w:hint="eastAsia" w:ascii="宋体" w:hAnsi="宋体"/>
          <w:sz w:val="28"/>
          <w:szCs w:val="28"/>
        </w:rPr>
        <w:t>是社会车辆停靠的主要地段</w:t>
      </w:r>
      <w:r>
        <w:rPr>
          <w:rFonts w:ascii="宋体" w:hAnsi="宋体"/>
          <w:sz w:val="28"/>
          <w:szCs w:val="28"/>
        </w:rPr>
        <w:t>,</w:t>
      </w:r>
      <w:r>
        <w:rPr>
          <w:rFonts w:hint="eastAsia" w:ascii="宋体" w:hAnsi="宋体"/>
          <w:sz w:val="28"/>
          <w:szCs w:val="28"/>
        </w:rPr>
        <w:t>因此</w:t>
      </w:r>
      <w:r>
        <w:rPr>
          <w:rFonts w:ascii="宋体" w:hAnsi="宋体"/>
          <w:sz w:val="28"/>
          <w:szCs w:val="28"/>
        </w:rPr>
        <w:t>,</w:t>
      </w:r>
      <w:r>
        <w:rPr>
          <w:rFonts w:hint="eastAsia" w:ascii="宋体" w:hAnsi="宋体"/>
          <w:sz w:val="28"/>
          <w:szCs w:val="28"/>
        </w:rPr>
        <w:t>保证地面建设空间</w:t>
      </w:r>
      <w:r>
        <w:rPr>
          <w:rFonts w:ascii="宋体" w:hAnsi="宋体"/>
          <w:sz w:val="28"/>
          <w:szCs w:val="28"/>
        </w:rPr>
        <w:t>,</w:t>
      </w:r>
      <w:r>
        <w:rPr>
          <w:rFonts w:hint="eastAsia" w:ascii="宋体" w:hAnsi="宋体"/>
          <w:sz w:val="28"/>
          <w:szCs w:val="28"/>
        </w:rPr>
        <w:t>挖掘地下停车空间势在必行</w:t>
      </w:r>
      <w:r>
        <w:rPr>
          <w:rFonts w:ascii="宋体" w:hAnsi="宋体"/>
          <w:sz w:val="28"/>
          <w:szCs w:val="28"/>
        </w:rPr>
        <w:t>,</w:t>
      </w:r>
      <w:r>
        <w:rPr>
          <w:rFonts w:hint="eastAsia" w:ascii="宋体" w:hAnsi="宋体"/>
          <w:sz w:val="28"/>
          <w:szCs w:val="28"/>
        </w:rPr>
        <w:t>缓解停车需求和用地紧张之间的矛盾。设置地面停车场时</w:t>
      </w:r>
      <w:r>
        <w:rPr>
          <w:rFonts w:ascii="宋体" w:hAnsi="宋体"/>
          <w:sz w:val="28"/>
          <w:szCs w:val="28"/>
        </w:rPr>
        <w:t>,</w:t>
      </w:r>
      <w:r>
        <w:rPr>
          <w:rFonts w:hint="eastAsia" w:ascii="宋体" w:hAnsi="宋体"/>
          <w:sz w:val="28"/>
          <w:szCs w:val="28"/>
        </w:rPr>
        <w:t>也只是见缝插针</w:t>
      </w:r>
      <w:r>
        <w:rPr>
          <w:rFonts w:ascii="宋体" w:hAnsi="宋体"/>
          <w:sz w:val="28"/>
          <w:szCs w:val="28"/>
        </w:rPr>
        <w:t>,</w:t>
      </w:r>
      <w:r>
        <w:rPr>
          <w:rFonts w:hint="eastAsia" w:ascii="宋体" w:hAnsi="宋体"/>
          <w:sz w:val="28"/>
          <w:szCs w:val="28"/>
        </w:rPr>
        <w:t>面积较小</w:t>
      </w:r>
      <w:r>
        <w:rPr>
          <w:rFonts w:ascii="宋体" w:hAnsi="宋体"/>
          <w:sz w:val="28"/>
          <w:szCs w:val="28"/>
        </w:rPr>
        <w:t>.</w:t>
      </w:r>
      <w:r>
        <w:rPr>
          <w:rFonts w:hint="eastAsia" w:ascii="宋体" w:hAnsi="宋体"/>
          <w:sz w:val="28"/>
          <w:szCs w:val="28"/>
        </w:rPr>
        <w:t>而在靠近山地或是在山坡的地区</w:t>
      </w:r>
      <w:r>
        <w:rPr>
          <w:rFonts w:ascii="宋体" w:hAnsi="宋体"/>
          <w:sz w:val="28"/>
          <w:szCs w:val="28"/>
        </w:rPr>
        <w:t>,</w:t>
      </w:r>
      <w:r>
        <w:rPr>
          <w:rFonts w:hint="eastAsia" w:ascii="宋体" w:hAnsi="宋体"/>
          <w:sz w:val="28"/>
          <w:szCs w:val="28"/>
        </w:rPr>
        <w:t>停车场结合道路</w:t>
      </w:r>
      <w:r>
        <w:rPr>
          <w:rFonts w:ascii="宋体" w:hAnsi="宋体"/>
          <w:sz w:val="28"/>
          <w:szCs w:val="28"/>
        </w:rPr>
        <w:t>,</w:t>
      </w:r>
      <w:r>
        <w:rPr>
          <w:rFonts w:hint="eastAsia" w:ascii="宋体" w:hAnsi="宋体"/>
          <w:sz w:val="28"/>
          <w:szCs w:val="28"/>
        </w:rPr>
        <w:t>尽量开辟坡度在</w:t>
      </w:r>
      <w:r>
        <w:rPr>
          <w:rFonts w:ascii="宋体" w:hAnsi="宋体"/>
          <w:sz w:val="28"/>
          <w:szCs w:val="28"/>
        </w:rPr>
        <w:t>25%</w:t>
      </w:r>
      <w:r>
        <w:rPr>
          <w:rFonts w:hint="eastAsia" w:ascii="宋体" w:hAnsi="宋体"/>
          <w:sz w:val="28"/>
          <w:szCs w:val="28"/>
        </w:rPr>
        <w:t>—</w:t>
      </w:r>
      <w:r>
        <w:rPr>
          <w:rFonts w:ascii="宋体" w:hAnsi="宋体"/>
          <w:sz w:val="28"/>
          <w:szCs w:val="28"/>
        </w:rPr>
        <w:t>30%</w:t>
      </w:r>
      <w:r>
        <w:rPr>
          <w:rFonts w:hint="eastAsia" w:ascii="宋体" w:hAnsi="宋体"/>
          <w:sz w:val="28"/>
          <w:szCs w:val="28"/>
        </w:rPr>
        <w:t>之间的山地</w:t>
      </w:r>
      <w:r>
        <w:rPr>
          <w:rFonts w:ascii="宋体" w:hAnsi="宋体"/>
          <w:sz w:val="28"/>
          <w:szCs w:val="28"/>
        </w:rPr>
        <w:t>,</w:t>
      </w:r>
      <w:r>
        <w:rPr>
          <w:rFonts w:hint="eastAsia" w:ascii="宋体" w:hAnsi="宋体"/>
          <w:sz w:val="28"/>
          <w:szCs w:val="28"/>
        </w:rPr>
        <w:t>在道路沿山体的一侧</w:t>
      </w:r>
      <w:r>
        <w:rPr>
          <w:rFonts w:ascii="宋体" w:hAnsi="宋体"/>
          <w:sz w:val="28"/>
          <w:szCs w:val="28"/>
        </w:rPr>
        <w:t>,</w:t>
      </w:r>
      <w:r>
        <w:rPr>
          <w:rFonts w:hint="eastAsia" w:ascii="宋体" w:hAnsi="宋体"/>
          <w:sz w:val="28"/>
          <w:szCs w:val="28"/>
        </w:rPr>
        <w:t>设置半掩土式停车场</w:t>
      </w:r>
      <w:r>
        <w:rPr>
          <w:rFonts w:ascii="宋体" w:hAnsi="宋体"/>
          <w:sz w:val="28"/>
          <w:szCs w:val="28"/>
        </w:rPr>
        <w:t>,</w:t>
      </w:r>
      <w:r>
        <w:rPr>
          <w:rFonts w:hint="eastAsia" w:ascii="宋体" w:hAnsi="宋体"/>
          <w:sz w:val="28"/>
          <w:szCs w:val="28"/>
        </w:rPr>
        <w:t>一半在山体里一半在外部</w:t>
      </w:r>
      <w:r>
        <w:rPr>
          <w:rFonts w:ascii="宋体" w:hAnsi="宋体"/>
          <w:sz w:val="28"/>
          <w:szCs w:val="28"/>
        </w:rPr>
        <w:t>,</w:t>
      </w:r>
      <w:r>
        <w:rPr>
          <w:rFonts w:hint="eastAsia" w:ascii="宋体" w:hAnsi="宋体"/>
          <w:sz w:val="28"/>
          <w:szCs w:val="28"/>
        </w:rPr>
        <w:t>而所临道路加宽</w:t>
      </w:r>
      <w:r>
        <w:rPr>
          <w:rFonts w:ascii="宋体" w:hAnsi="宋体"/>
          <w:sz w:val="28"/>
          <w:szCs w:val="28"/>
        </w:rPr>
        <w:t>1</w:t>
      </w:r>
      <w:r>
        <w:rPr>
          <w:rFonts w:hint="eastAsia" w:ascii="宋体" w:hAnsi="宋体"/>
          <w:sz w:val="28"/>
          <w:szCs w:val="28"/>
        </w:rPr>
        <w:t>倍</w:t>
      </w:r>
      <w:r>
        <w:rPr>
          <w:rFonts w:ascii="宋体" w:hAnsi="宋体"/>
          <w:sz w:val="28"/>
          <w:szCs w:val="28"/>
        </w:rPr>
        <w:t>,</w:t>
      </w:r>
      <w:r>
        <w:rPr>
          <w:rFonts w:hint="eastAsia" w:ascii="宋体" w:hAnsi="宋体"/>
          <w:sz w:val="28"/>
          <w:szCs w:val="28"/>
        </w:rPr>
        <w:t>尽量利用到道路沿山体中较为平坦的地块</w:t>
      </w:r>
      <w:r>
        <w:rPr>
          <w:rFonts w:ascii="宋体" w:hAnsi="宋体"/>
          <w:sz w:val="28"/>
          <w:szCs w:val="28"/>
        </w:rPr>
        <w:t>,</w:t>
      </w:r>
      <w:r>
        <w:rPr>
          <w:rFonts w:hint="eastAsia" w:ascii="宋体" w:hAnsi="宋体"/>
          <w:sz w:val="28"/>
          <w:szCs w:val="28"/>
        </w:rPr>
        <w:t>开发利用进行停车。</w:t>
      </w:r>
    </w:p>
    <w:p w14:paraId="11340618">
      <w:pPr>
        <w:pStyle w:val="5"/>
        <w:spacing w:line="550" w:lineRule="exact"/>
        <w:ind w:firstLine="560"/>
        <w:rPr>
          <w:rFonts w:ascii="宋体" w:hAnsi="宋体"/>
          <w:sz w:val="28"/>
          <w:szCs w:val="28"/>
        </w:rPr>
      </w:pPr>
      <w:r>
        <w:rPr>
          <w:rFonts w:hint="eastAsia" w:ascii="宋体" w:hAnsi="宋体"/>
          <w:sz w:val="28"/>
          <w:szCs w:val="28"/>
        </w:rPr>
        <w:t>2、配置规模</w:t>
      </w:r>
    </w:p>
    <w:p w14:paraId="06A0533E">
      <w:pPr>
        <w:pStyle w:val="5"/>
        <w:spacing w:line="550" w:lineRule="exact"/>
        <w:ind w:firstLine="560"/>
        <w:rPr>
          <w:rFonts w:ascii="宋体" w:hAnsi="宋体"/>
          <w:sz w:val="28"/>
          <w:szCs w:val="28"/>
        </w:rPr>
      </w:pPr>
      <w:r>
        <w:rPr>
          <w:rFonts w:hint="eastAsia" w:ascii="宋体" w:hAnsi="宋体"/>
          <w:sz w:val="28"/>
          <w:szCs w:val="28"/>
        </w:rPr>
        <w:t>在地面停车场的配置上</w:t>
      </w:r>
      <w:r>
        <w:rPr>
          <w:rFonts w:ascii="宋体" w:hAnsi="宋体"/>
          <w:sz w:val="28"/>
          <w:szCs w:val="28"/>
        </w:rPr>
        <w:t>,</w:t>
      </w:r>
      <w:r>
        <w:rPr>
          <w:rFonts w:hint="eastAsia" w:ascii="宋体" w:hAnsi="宋体"/>
          <w:sz w:val="28"/>
          <w:szCs w:val="28"/>
        </w:rPr>
        <w:t>充分考虑利用山地</w:t>
      </w:r>
      <w:r>
        <w:rPr>
          <w:rFonts w:ascii="宋体" w:hAnsi="宋体"/>
          <w:sz w:val="28"/>
          <w:szCs w:val="28"/>
        </w:rPr>
        <w:t>,</w:t>
      </w:r>
      <w:r>
        <w:rPr>
          <w:rFonts w:hint="eastAsia" w:ascii="宋体" w:hAnsi="宋体"/>
          <w:sz w:val="28"/>
          <w:szCs w:val="28"/>
        </w:rPr>
        <w:t>在设计中</w:t>
      </w:r>
      <w:r>
        <w:rPr>
          <w:rFonts w:ascii="宋体" w:hAnsi="宋体"/>
          <w:sz w:val="28"/>
          <w:szCs w:val="28"/>
        </w:rPr>
        <w:t>,</w:t>
      </w:r>
      <w:r>
        <w:rPr>
          <w:rFonts w:hint="eastAsia" w:ascii="宋体" w:hAnsi="宋体"/>
          <w:sz w:val="28"/>
          <w:szCs w:val="28"/>
        </w:rPr>
        <w:t>根据土地的平整程度灵活的设置停车场。为适应未来不断增加的机动车交通量的要求，按照500-1000米服务半径进行布置，实现了城区停车设施全覆盖。规划共设置9处机动车地面社会公共停车场，分别位于大型公共设施周边、公园和广场周边、物流仓储周边，起到区域集中停车的作用。</w:t>
      </w:r>
    </w:p>
    <w:p w14:paraId="6B603950">
      <w:pPr>
        <w:pStyle w:val="5"/>
        <w:spacing w:line="550" w:lineRule="exact"/>
        <w:ind w:firstLine="560"/>
        <w:rPr>
          <w:rFonts w:ascii="宋体" w:hAnsi="宋体"/>
          <w:sz w:val="28"/>
          <w:szCs w:val="28"/>
        </w:rPr>
      </w:pPr>
      <w:r>
        <w:rPr>
          <w:rFonts w:ascii="宋体" w:hAnsi="宋体"/>
          <w:sz w:val="28"/>
          <w:szCs w:val="28"/>
        </w:rPr>
        <w:t>(</w:t>
      </w:r>
      <w:r>
        <w:rPr>
          <w:rFonts w:hint="eastAsia" w:ascii="宋体" w:hAnsi="宋体"/>
          <w:sz w:val="28"/>
          <w:szCs w:val="28"/>
        </w:rPr>
        <w:t>二</w:t>
      </w:r>
      <w:r>
        <w:rPr>
          <w:rFonts w:ascii="宋体" w:hAnsi="宋体"/>
          <w:sz w:val="28"/>
          <w:szCs w:val="28"/>
        </w:rPr>
        <w:t>)</w:t>
      </w:r>
      <w:r>
        <w:rPr>
          <w:rFonts w:hint="eastAsia" w:ascii="宋体" w:hAnsi="宋体"/>
          <w:sz w:val="28"/>
          <w:szCs w:val="28"/>
        </w:rPr>
        <w:t>配建停车场</w:t>
      </w:r>
    </w:p>
    <w:p w14:paraId="3CD08F78">
      <w:pPr>
        <w:pStyle w:val="5"/>
        <w:spacing w:line="550" w:lineRule="exact"/>
        <w:ind w:firstLine="560"/>
        <w:rPr>
          <w:rFonts w:ascii="宋体" w:hAnsi="宋体"/>
          <w:sz w:val="28"/>
          <w:szCs w:val="28"/>
        </w:rPr>
      </w:pPr>
      <w:r>
        <w:rPr>
          <w:rFonts w:hint="eastAsia" w:ascii="宋体" w:hAnsi="宋体"/>
          <w:sz w:val="28"/>
          <w:szCs w:val="28"/>
        </w:rPr>
        <w:t>随着社会生活的发展，停车方式越来越趋于就近停靠，因此各个地块的配建停车就显得尤为重要。</w:t>
      </w:r>
    </w:p>
    <w:p w14:paraId="227E47C1">
      <w:pPr>
        <w:pStyle w:val="5"/>
        <w:spacing w:line="540" w:lineRule="exact"/>
        <w:ind w:firstLine="560"/>
        <w:rPr>
          <w:rFonts w:ascii="宋体" w:hAnsi="宋体"/>
          <w:sz w:val="28"/>
          <w:szCs w:val="28"/>
        </w:rPr>
      </w:pPr>
      <w:r>
        <w:rPr>
          <w:rFonts w:hint="eastAsia" w:ascii="宋体" w:hAnsi="宋体"/>
          <w:sz w:val="28"/>
          <w:szCs w:val="28"/>
        </w:rPr>
        <w:t>规划根据地方要求，参考其它城市的配建停车规定，同时考虑一定的超前意识，对片区内各个不同功能区地块配建停车标准做出规定，具体体现在规划图则中对各地块的配建停车位的数量要求。</w:t>
      </w:r>
    </w:p>
    <w:p w14:paraId="2C6BEF1F">
      <w:pPr>
        <w:pStyle w:val="5"/>
        <w:spacing w:line="540" w:lineRule="exact"/>
        <w:ind w:firstLine="560"/>
        <w:rPr>
          <w:rFonts w:ascii="宋体" w:hAnsi="宋体"/>
          <w:sz w:val="28"/>
          <w:szCs w:val="28"/>
        </w:rPr>
      </w:pPr>
      <w:r>
        <w:rPr>
          <w:rFonts w:hint="eastAsia" w:ascii="宋体" w:hAnsi="宋体"/>
          <w:sz w:val="28"/>
          <w:szCs w:val="28"/>
        </w:rPr>
        <w:t>建议公共建筑停车场宜结合商业设施、公共服务设施进行综合开发；建议大型公共建筑、集中居住小区配建停车采用地下停车形式为主。居住和商业街区内，在满足停车配建标准的同时增配3%的机动车地面停车位。</w:t>
      </w:r>
    </w:p>
    <w:p w14:paraId="70D7E95E">
      <w:pPr>
        <w:pStyle w:val="5"/>
        <w:spacing w:line="540" w:lineRule="exact"/>
        <w:ind w:firstLine="560"/>
        <w:rPr>
          <w:rFonts w:ascii="宋体" w:hAnsi="宋体"/>
          <w:sz w:val="28"/>
          <w:szCs w:val="28"/>
        </w:rPr>
      </w:pPr>
      <w:r>
        <w:rPr>
          <w:rFonts w:hint="eastAsia" w:ascii="宋体" w:hAnsi="宋体"/>
          <w:sz w:val="28"/>
          <w:szCs w:val="28"/>
        </w:rPr>
        <w:t>地面停车位和临时停车位的设置应避免破坏绿化和视线景观。</w:t>
      </w:r>
    </w:p>
    <w:p w14:paraId="46CAA313">
      <w:pPr>
        <w:pStyle w:val="5"/>
        <w:spacing w:line="540" w:lineRule="exact"/>
        <w:ind w:firstLine="560"/>
        <w:rPr>
          <w:rFonts w:ascii="宋体" w:hAnsi="宋体"/>
          <w:sz w:val="28"/>
          <w:szCs w:val="28"/>
        </w:rPr>
      </w:pPr>
      <w:r>
        <w:rPr>
          <w:rFonts w:hint="eastAsia" w:ascii="宋体" w:hAnsi="宋体"/>
          <w:sz w:val="28"/>
          <w:szCs w:val="28"/>
        </w:rPr>
        <w:t>由于陵川地势起伏较大，大部分地区不适宜自行车通行，因此对自行车配建要求不做强制性要求。在确需配置时，公共自行车组零点服务半径不宜超过200米，单个自行车租赁点的规模控制在30个自行车位以内。</w:t>
      </w:r>
    </w:p>
    <w:p w14:paraId="5DECAAAF">
      <w:pPr>
        <w:pStyle w:val="5"/>
        <w:spacing w:line="540" w:lineRule="exact"/>
        <w:ind w:firstLine="560"/>
        <w:rPr>
          <w:rFonts w:ascii="宋体" w:hAnsi="宋体"/>
          <w:sz w:val="28"/>
          <w:szCs w:val="28"/>
        </w:rPr>
      </w:pPr>
      <w:r>
        <w:rPr>
          <w:rFonts w:ascii="宋体" w:hAnsi="宋体"/>
          <w:sz w:val="28"/>
          <w:szCs w:val="28"/>
        </w:rPr>
        <w:t>(</w:t>
      </w:r>
      <w:r>
        <w:rPr>
          <w:rFonts w:hint="eastAsia" w:ascii="宋体" w:hAnsi="宋体"/>
          <w:sz w:val="28"/>
          <w:szCs w:val="28"/>
        </w:rPr>
        <w:t>三</w:t>
      </w:r>
      <w:r>
        <w:rPr>
          <w:rFonts w:ascii="宋体" w:hAnsi="宋体"/>
          <w:sz w:val="28"/>
          <w:szCs w:val="28"/>
        </w:rPr>
        <w:t>)</w:t>
      </w:r>
      <w:r>
        <w:rPr>
          <w:rFonts w:hint="eastAsia" w:ascii="宋体" w:hAnsi="宋体"/>
          <w:sz w:val="28"/>
          <w:szCs w:val="28"/>
        </w:rPr>
        <w:t>人行道宽度及出入口</w:t>
      </w:r>
    </w:p>
    <w:p w14:paraId="49B9EFE6">
      <w:pPr>
        <w:pStyle w:val="5"/>
        <w:spacing w:line="540" w:lineRule="exact"/>
        <w:ind w:firstLine="560"/>
        <w:rPr>
          <w:rFonts w:ascii="宋体" w:hAnsi="宋体"/>
          <w:sz w:val="28"/>
          <w:szCs w:val="28"/>
        </w:rPr>
      </w:pPr>
      <w:r>
        <w:rPr>
          <w:rFonts w:hint="eastAsia" w:ascii="宋体" w:hAnsi="宋体"/>
          <w:sz w:val="28"/>
          <w:szCs w:val="28"/>
        </w:rPr>
        <w:t>一般街道及居住区道路人行道净宽度不得小于2.0米，商业街、文体娱乐场所和交通枢纽处人行道宽度不得小于3米，人行道道路红线内未能满足的部分可在建筑后退红线的范围内补充。</w:t>
      </w:r>
    </w:p>
    <w:p w14:paraId="21BCCADE">
      <w:pPr>
        <w:pStyle w:val="5"/>
        <w:spacing w:line="540" w:lineRule="exact"/>
        <w:ind w:firstLine="560"/>
        <w:rPr>
          <w:rFonts w:ascii="宋体" w:hAnsi="宋体"/>
          <w:sz w:val="28"/>
          <w:szCs w:val="28"/>
        </w:rPr>
      </w:pPr>
      <w:r>
        <w:rPr>
          <w:rFonts w:hint="eastAsia" w:ascii="宋体" w:hAnsi="宋体"/>
          <w:sz w:val="28"/>
          <w:szCs w:val="28"/>
        </w:rPr>
        <w:t>沿城市外环路、主干路应尽量减少机动车开口；原则上相邻不同等级道路需首选在低等级道路方向开口；特殊情况下向城市高等级道路的开口不宜超过2个。</w:t>
      </w:r>
    </w:p>
    <w:p w14:paraId="766D3982">
      <w:pPr>
        <w:pStyle w:val="5"/>
        <w:spacing w:line="540" w:lineRule="exact"/>
        <w:ind w:firstLine="560"/>
        <w:rPr>
          <w:rFonts w:ascii="宋体" w:hAnsi="宋体"/>
          <w:sz w:val="28"/>
          <w:szCs w:val="28"/>
        </w:rPr>
      </w:pPr>
      <w:r>
        <w:rPr>
          <w:rFonts w:hint="eastAsia" w:ascii="宋体" w:hAnsi="宋体"/>
          <w:sz w:val="28"/>
          <w:szCs w:val="28"/>
        </w:rPr>
        <w:t>各单位出入口设置应满足城市道路通畅，在干道上原则少开或不开出入口。出入口位置应以支路为主，每个地块单位可设置不少于2个出入口位置，保障地块出入口方便与疏散要求。</w:t>
      </w:r>
    </w:p>
    <w:p w14:paraId="3BFC7829">
      <w:pPr>
        <w:pStyle w:val="5"/>
        <w:spacing w:line="540" w:lineRule="exact"/>
        <w:ind w:firstLine="0" w:firstLineChars="0"/>
        <w:jc w:val="center"/>
        <w:rPr>
          <w:rFonts w:ascii="宋体" w:hAnsi="宋体"/>
          <w:b/>
          <w:sz w:val="28"/>
          <w:szCs w:val="28"/>
        </w:rPr>
      </w:pPr>
      <w:r>
        <w:rPr>
          <w:rFonts w:hint="eastAsia" w:ascii="宋体" w:hAnsi="宋体"/>
          <w:b/>
          <w:sz w:val="28"/>
          <w:szCs w:val="28"/>
        </w:rPr>
        <w:t>表8</w:t>
      </w:r>
      <w:r>
        <w:rPr>
          <w:rFonts w:ascii="宋体" w:hAnsi="宋体"/>
          <w:b/>
          <w:sz w:val="28"/>
          <w:szCs w:val="28"/>
        </w:rPr>
        <w:t xml:space="preserve">  </w:t>
      </w:r>
      <w:r>
        <w:rPr>
          <w:rFonts w:hint="eastAsia" w:ascii="宋体" w:hAnsi="宋体"/>
          <w:b/>
          <w:sz w:val="28"/>
          <w:szCs w:val="28"/>
        </w:rPr>
        <w:t>机动车禁止开口距离</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4647E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30" w:type="dxa"/>
            <w:shd w:val="clear" w:color="auto" w:fill="auto"/>
            <w:vAlign w:val="center"/>
          </w:tcPr>
          <w:p w14:paraId="10F346D5">
            <w:pPr>
              <w:pStyle w:val="48"/>
            </w:pPr>
          </w:p>
        </w:tc>
        <w:tc>
          <w:tcPr>
            <w:tcW w:w="2130" w:type="dxa"/>
            <w:shd w:val="clear" w:color="auto" w:fill="auto"/>
            <w:vAlign w:val="center"/>
          </w:tcPr>
          <w:p w14:paraId="0A559D37">
            <w:pPr>
              <w:pStyle w:val="48"/>
            </w:pPr>
            <w:r>
              <w:rPr>
                <w:rFonts w:hint="eastAsia"/>
              </w:rPr>
              <w:t>主干道</w:t>
            </w:r>
          </w:p>
        </w:tc>
        <w:tc>
          <w:tcPr>
            <w:tcW w:w="2131" w:type="dxa"/>
            <w:shd w:val="clear" w:color="auto" w:fill="auto"/>
            <w:vAlign w:val="center"/>
          </w:tcPr>
          <w:p w14:paraId="69E921CC">
            <w:pPr>
              <w:pStyle w:val="48"/>
            </w:pPr>
            <w:r>
              <w:rPr>
                <w:rFonts w:hint="eastAsia"/>
              </w:rPr>
              <w:t>次干道</w:t>
            </w:r>
          </w:p>
        </w:tc>
        <w:tc>
          <w:tcPr>
            <w:tcW w:w="2131" w:type="dxa"/>
            <w:shd w:val="clear" w:color="auto" w:fill="auto"/>
            <w:vAlign w:val="center"/>
          </w:tcPr>
          <w:p w14:paraId="29746D97">
            <w:pPr>
              <w:pStyle w:val="48"/>
            </w:pPr>
            <w:r>
              <w:rPr>
                <w:rFonts w:hint="eastAsia"/>
              </w:rPr>
              <w:t>支路</w:t>
            </w:r>
          </w:p>
        </w:tc>
      </w:tr>
      <w:tr w14:paraId="7BA21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30" w:type="dxa"/>
            <w:shd w:val="clear" w:color="auto" w:fill="auto"/>
            <w:vAlign w:val="center"/>
          </w:tcPr>
          <w:p w14:paraId="02BD92C8">
            <w:pPr>
              <w:pStyle w:val="48"/>
            </w:pPr>
            <w:r>
              <w:rPr>
                <w:rFonts w:hint="eastAsia"/>
              </w:rPr>
              <w:t>主干道</w:t>
            </w:r>
          </w:p>
        </w:tc>
        <w:tc>
          <w:tcPr>
            <w:tcW w:w="2130" w:type="dxa"/>
            <w:shd w:val="clear" w:color="auto" w:fill="auto"/>
            <w:vAlign w:val="center"/>
          </w:tcPr>
          <w:p w14:paraId="26520CE0">
            <w:pPr>
              <w:pStyle w:val="48"/>
            </w:pPr>
            <w:r>
              <w:rPr>
                <w:rFonts w:hint="eastAsia"/>
              </w:rPr>
              <w:t>70m</w:t>
            </w:r>
          </w:p>
        </w:tc>
        <w:tc>
          <w:tcPr>
            <w:tcW w:w="2131" w:type="dxa"/>
            <w:shd w:val="clear" w:color="auto" w:fill="auto"/>
            <w:vAlign w:val="center"/>
          </w:tcPr>
          <w:p w14:paraId="5A09BF3C">
            <w:pPr>
              <w:pStyle w:val="48"/>
            </w:pPr>
            <w:r>
              <w:rPr>
                <w:rFonts w:hint="eastAsia"/>
              </w:rPr>
              <w:t>60m</w:t>
            </w:r>
          </w:p>
        </w:tc>
        <w:tc>
          <w:tcPr>
            <w:tcW w:w="2131" w:type="dxa"/>
            <w:shd w:val="clear" w:color="auto" w:fill="auto"/>
            <w:vAlign w:val="center"/>
          </w:tcPr>
          <w:p w14:paraId="1715CDC1">
            <w:pPr>
              <w:pStyle w:val="48"/>
            </w:pPr>
            <w:r>
              <w:rPr>
                <w:rFonts w:hint="eastAsia"/>
              </w:rPr>
              <w:t>50m</w:t>
            </w:r>
          </w:p>
        </w:tc>
      </w:tr>
      <w:tr w14:paraId="2F243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30" w:type="dxa"/>
            <w:shd w:val="clear" w:color="auto" w:fill="auto"/>
            <w:vAlign w:val="center"/>
          </w:tcPr>
          <w:p w14:paraId="6A625ED1">
            <w:pPr>
              <w:pStyle w:val="48"/>
            </w:pPr>
            <w:r>
              <w:rPr>
                <w:rFonts w:hint="eastAsia"/>
              </w:rPr>
              <w:t>次干道</w:t>
            </w:r>
          </w:p>
        </w:tc>
        <w:tc>
          <w:tcPr>
            <w:tcW w:w="2130" w:type="dxa"/>
            <w:shd w:val="clear" w:color="auto" w:fill="auto"/>
            <w:vAlign w:val="center"/>
          </w:tcPr>
          <w:p w14:paraId="49A326D1">
            <w:pPr>
              <w:pStyle w:val="48"/>
            </w:pPr>
            <w:r>
              <w:rPr>
                <w:rFonts w:hint="eastAsia"/>
              </w:rPr>
              <w:t>60m</w:t>
            </w:r>
          </w:p>
        </w:tc>
        <w:tc>
          <w:tcPr>
            <w:tcW w:w="2131" w:type="dxa"/>
            <w:shd w:val="clear" w:color="auto" w:fill="auto"/>
            <w:vAlign w:val="center"/>
          </w:tcPr>
          <w:p w14:paraId="521CBCD2">
            <w:pPr>
              <w:pStyle w:val="48"/>
            </w:pPr>
            <w:r>
              <w:rPr>
                <w:rFonts w:hint="eastAsia"/>
              </w:rPr>
              <w:t>50m</w:t>
            </w:r>
          </w:p>
        </w:tc>
        <w:tc>
          <w:tcPr>
            <w:tcW w:w="2131" w:type="dxa"/>
            <w:shd w:val="clear" w:color="auto" w:fill="auto"/>
            <w:vAlign w:val="center"/>
          </w:tcPr>
          <w:p w14:paraId="75F5AD63">
            <w:pPr>
              <w:pStyle w:val="48"/>
            </w:pPr>
            <w:r>
              <w:rPr>
                <w:rFonts w:hint="eastAsia"/>
              </w:rPr>
              <w:t>30m</w:t>
            </w:r>
          </w:p>
        </w:tc>
      </w:tr>
      <w:tr w14:paraId="093A8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30" w:type="dxa"/>
            <w:shd w:val="clear" w:color="auto" w:fill="auto"/>
            <w:vAlign w:val="center"/>
          </w:tcPr>
          <w:p w14:paraId="56828C22">
            <w:pPr>
              <w:pStyle w:val="48"/>
            </w:pPr>
            <w:r>
              <w:rPr>
                <w:rFonts w:hint="eastAsia"/>
              </w:rPr>
              <w:t>支路</w:t>
            </w:r>
          </w:p>
        </w:tc>
        <w:tc>
          <w:tcPr>
            <w:tcW w:w="2130" w:type="dxa"/>
            <w:shd w:val="clear" w:color="auto" w:fill="auto"/>
            <w:vAlign w:val="center"/>
          </w:tcPr>
          <w:p w14:paraId="3A669044">
            <w:pPr>
              <w:pStyle w:val="48"/>
            </w:pPr>
            <w:r>
              <w:rPr>
                <w:rFonts w:hint="eastAsia"/>
              </w:rPr>
              <w:t>50m</w:t>
            </w:r>
          </w:p>
        </w:tc>
        <w:tc>
          <w:tcPr>
            <w:tcW w:w="2131" w:type="dxa"/>
            <w:shd w:val="clear" w:color="auto" w:fill="auto"/>
            <w:vAlign w:val="center"/>
          </w:tcPr>
          <w:p w14:paraId="6CA93371">
            <w:pPr>
              <w:pStyle w:val="48"/>
            </w:pPr>
            <w:r>
              <w:rPr>
                <w:rFonts w:hint="eastAsia"/>
              </w:rPr>
              <w:t>40m</w:t>
            </w:r>
          </w:p>
        </w:tc>
        <w:tc>
          <w:tcPr>
            <w:tcW w:w="2131" w:type="dxa"/>
            <w:shd w:val="clear" w:color="auto" w:fill="auto"/>
            <w:vAlign w:val="center"/>
          </w:tcPr>
          <w:p w14:paraId="5C4878E3">
            <w:pPr>
              <w:pStyle w:val="48"/>
            </w:pPr>
            <w:r>
              <w:rPr>
                <w:rFonts w:hint="eastAsia"/>
              </w:rPr>
              <w:t>20m</w:t>
            </w:r>
          </w:p>
        </w:tc>
      </w:tr>
    </w:tbl>
    <w:p w14:paraId="1C9E1848">
      <w:pPr>
        <w:pStyle w:val="2"/>
        <w:spacing w:before="0" w:after="0" w:line="580" w:lineRule="exact"/>
        <w:jc w:val="center"/>
        <w:rPr>
          <w:rFonts w:ascii="黑体" w:hAnsi="黑体" w:eastAsia="黑体"/>
          <w:sz w:val="36"/>
          <w:szCs w:val="36"/>
        </w:rPr>
      </w:pPr>
      <w:bookmarkStart w:id="36" w:name="_Toc441214842"/>
      <w:bookmarkStart w:id="37" w:name="_Toc528317035"/>
      <w:r>
        <w:rPr>
          <w:rFonts w:hint="eastAsia" w:ascii="黑体" w:hAnsi="黑体" w:eastAsia="黑体"/>
          <w:sz w:val="36"/>
          <w:szCs w:val="36"/>
        </w:rPr>
        <w:t>第七章  城市“双修”与城市设计</w:t>
      </w:r>
      <w:bookmarkEnd w:id="36"/>
      <w:r>
        <w:rPr>
          <w:rFonts w:hint="eastAsia" w:ascii="黑体" w:hAnsi="黑体" w:eastAsia="黑体"/>
          <w:sz w:val="36"/>
          <w:szCs w:val="36"/>
        </w:rPr>
        <w:t>引导</w:t>
      </w:r>
      <w:bookmarkEnd w:id="37"/>
    </w:p>
    <w:p w14:paraId="3F445908">
      <w:pPr>
        <w:pStyle w:val="47"/>
        <w:spacing w:line="580" w:lineRule="exact"/>
      </w:pPr>
    </w:p>
    <w:p w14:paraId="2AAF7C2A">
      <w:pPr>
        <w:pStyle w:val="47"/>
        <w:spacing w:line="580" w:lineRule="exact"/>
      </w:pPr>
      <w:r>
        <w:rPr>
          <w:rFonts w:hint="eastAsia"/>
        </w:rPr>
        <w:t>“城市双修”工作是指“生态修复和城市修补”，其中生态修复是建设健康、美丽城市的基础，旨在保护自然资源，修复生态环境、推进海绵城市建设，提主要内容是河岸线、海岸线和山体的修复。即用再生态的理念，修复城市中被破坏的自然环境和地形地貌，改善生态环境质量；用更新织补的理念，拆除违章建筑，修复城市设施、空间环境、景观风貌，提升城市特色和活力。城市“双修”是走向品质的营造修补，是城市发展由量的扩展转入质的提升。</w:t>
      </w:r>
    </w:p>
    <w:p w14:paraId="08174AF5">
      <w:pPr>
        <w:pStyle w:val="47"/>
        <w:spacing w:line="580" w:lineRule="exact"/>
      </w:pPr>
      <w:r>
        <w:rPr>
          <w:rFonts w:hint="eastAsia"/>
        </w:rPr>
        <w:t>2015年中央城市工作会议对开展“生态修复、城市修补”提出了明确要求，</w:t>
      </w:r>
      <w:r>
        <w:t>要加强城市设计，提倡城市修补，加强控制性详细规划的公开性和强制性。</w:t>
      </w:r>
      <w:r>
        <w:rPr>
          <w:rFonts w:hint="eastAsia"/>
        </w:rPr>
        <w:t>同年6月住房城乡建设部将海南省三亚市作为试点城市，大力推动“生态修复、城市修补”工作。</w:t>
      </w:r>
    </w:p>
    <w:p w14:paraId="143C2381">
      <w:pPr>
        <w:pStyle w:val="47"/>
        <w:spacing w:line="580" w:lineRule="exact"/>
      </w:pPr>
      <w:r>
        <w:rPr>
          <w:rFonts w:hint="eastAsia"/>
        </w:rPr>
        <w:t>本次规划将“</w:t>
      </w:r>
      <w:r>
        <w:rPr>
          <w:rFonts w:ascii="Arial" w:hAnsi="Arial" w:cs="Arial"/>
          <w:color w:val="333333"/>
          <w:sz w:val="30"/>
          <w:szCs w:val="30"/>
          <w:shd w:val="clear" w:color="auto" w:fill="FFFFFF"/>
        </w:rPr>
        <w:t>城市功能体系及其承载的空间场所得到全面系统的修复、弥补和完善</w:t>
      </w:r>
      <w:r>
        <w:rPr>
          <w:rFonts w:hint="eastAsia"/>
        </w:rPr>
        <w:t>”作为编制目标，将城市“双修”的指导思想贯穿编制工作的始终，并对陵川城区城市“双修”及城市设计的相关控制内容进行分类引导，包括修复城市设施、构建景观风貌、空间环境引导、历史文化传承、推动合理更新等内容。其中，城市设施修复内容见第四章，城市更新详见第十一章。</w:t>
      </w:r>
    </w:p>
    <w:p w14:paraId="0F9ABA2F">
      <w:pPr>
        <w:pStyle w:val="38"/>
        <w:numPr>
          <w:ilvl w:val="0"/>
          <w:numId w:val="8"/>
        </w:numPr>
        <w:spacing w:before="0" w:beforeLines="0" w:after="0" w:afterLines="0" w:line="580" w:lineRule="exact"/>
        <w:rPr>
          <w:rFonts w:ascii="黑体" w:hAnsi="黑体"/>
          <w:b/>
        </w:rPr>
      </w:pPr>
      <w:bookmarkStart w:id="38" w:name="_Toc528317036"/>
      <w:r>
        <w:rPr>
          <w:rFonts w:hint="eastAsia" w:ascii="黑体" w:hAnsi="黑体"/>
          <w:b/>
        </w:rPr>
        <w:t>总体景观风貌</w:t>
      </w:r>
      <w:bookmarkEnd w:id="38"/>
    </w:p>
    <w:p w14:paraId="5158F476">
      <w:pPr>
        <w:pStyle w:val="5"/>
        <w:spacing w:line="580" w:lineRule="exact"/>
        <w:ind w:firstLine="560"/>
        <w:rPr>
          <w:rFonts w:ascii="宋体" w:hAnsi="宋体"/>
          <w:sz w:val="28"/>
          <w:szCs w:val="28"/>
        </w:rPr>
      </w:pPr>
      <w:r>
        <w:rPr>
          <w:rFonts w:hint="eastAsia" w:ascii="宋体" w:hAnsi="宋体"/>
          <w:sz w:val="28"/>
          <w:szCs w:val="28"/>
        </w:rPr>
        <w:t>低山丘陵地貌是陵川县城区最突出的自然特征，因此在规划中如何保护自然山体，并使山体与城市相互交融，在城市发展中保证陵川县城区自然本底的受到保护，成为陵川总体景观风貌的基础。</w:t>
      </w:r>
    </w:p>
    <w:p w14:paraId="1360B3D2">
      <w:pPr>
        <w:pStyle w:val="5"/>
        <w:spacing w:line="580" w:lineRule="exact"/>
        <w:ind w:firstLine="560"/>
        <w:rPr>
          <w:rFonts w:ascii="宋体" w:hAnsi="宋体"/>
          <w:sz w:val="28"/>
          <w:szCs w:val="28"/>
        </w:rPr>
      </w:pPr>
      <w:r>
        <w:rPr>
          <w:rFonts w:hint="eastAsia" w:ascii="宋体" w:hAnsi="宋体"/>
          <w:sz w:val="28"/>
          <w:szCs w:val="28"/>
        </w:rPr>
        <w:t>山体可以提升城市的生态环境、丰富市民的业余休闲生活，是城市重要的自然资源。特别是对于山地城市，如何在城市发展中既保持山地城市的特色，又能有合理利用部分山体用于保持城市发展空间，对山地城市持续发展尤为重要。</w:t>
      </w:r>
    </w:p>
    <w:p w14:paraId="06A9DA5D">
      <w:pPr>
        <w:pStyle w:val="5"/>
        <w:spacing w:line="580" w:lineRule="exact"/>
        <w:ind w:firstLine="560"/>
        <w:rPr>
          <w:rFonts w:ascii="宋体" w:hAnsi="宋体"/>
          <w:sz w:val="28"/>
          <w:szCs w:val="28"/>
        </w:rPr>
      </w:pPr>
      <w:r>
        <w:rPr>
          <w:rFonts w:hint="eastAsia" w:ascii="宋体" w:hAnsi="宋体"/>
          <w:sz w:val="28"/>
          <w:szCs w:val="28"/>
        </w:rPr>
        <w:t>本次规划在充分认识陵川城区自然山体分布和现实状况的基础上，结合城市总体生态框架，因地制宜地深化实施分级别、分类型的控制引导，也要尊重自然环境和历史条件，提升城市山体生态对于使用者的游憩意义，强化山地城市山水特色。</w:t>
      </w:r>
    </w:p>
    <w:p w14:paraId="5AE747F2">
      <w:pPr>
        <w:pStyle w:val="5"/>
        <w:spacing w:line="580" w:lineRule="exact"/>
        <w:ind w:firstLine="560"/>
        <w:rPr>
          <w:rFonts w:ascii="宋体" w:hAnsi="宋体"/>
          <w:sz w:val="28"/>
          <w:szCs w:val="28"/>
        </w:rPr>
      </w:pPr>
      <w:r>
        <w:rPr>
          <w:rFonts w:ascii="宋体" w:hAnsi="宋体"/>
          <w:sz w:val="28"/>
          <w:szCs w:val="28"/>
        </w:rPr>
        <w:t>(</w:t>
      </w:r>
      <w:r>
        <w:rPr>
          <w:rFonts w:hint="eastAsia" w:ascii="宋体" w:hAnsi="宋体"/>
          <w:sz w:val="28"/>
          <w:szCs w:val="28"/>
        </w:rPr>
        <w:t>一</w:t>
      </w:r>
      <w:r>
        <w:rPr>
          <w:rFonts w:ascii="宋体" w:hAnsi="宋体"/>
          <w:sz w:val="28"/>
          <w:szCs w:val="28"/>
        </w:rPr>
        <w:t>)</w:t>
      </w:r>
      <w:r>
        <w:rPr>
          <w:rFonts w:hint="eastAsia" w:ascii="宋体" w:hAnsi="宋体"/>
          <w:sz w:val="28"/>
          <w:szCs w:val="28"/>
        </w:rPr>
        <w:t>规划原则</w:t>
      </w:r>
    </w:p>
    <w:p w14:paraId="4E97A5C2">
      <w:pPr>
        <w:pStyle w:val="5"/>
        <w:spacing w:line="580" w:lineRule="exact"/>
        <w:ind w:firstLine="560"/>
        <w:rPr>
          <w:rFonts w:ascii="宋体" w:hAnsi="宋体"/>
          <w:sz w:val="28"/>
          <w:szCs w:val="28"/>
        </w:rPr>
      </w:pPr>
      <w:r>
        <w:rPr>
          <w:rFonts w:hint="eastAsia" w:ascii="宋体" w:hAnsi="宋体"/>
          <w:sz w:val="28"/>
          <w:szCs w:val="28"/>
        </w:rPr>
        <w:t>1、坚持统一规划、严格控制、保护为主、适度利用的原则。</w:t>
      </w:r>
    </w:p>
    <w:p w14:paraId="59422B07">
      <w:pPr>
        <w:pStyle w:val="5"/>
        <w:spacing w:line="580" w:lineRule="exact"/>
        <w:ind w:firstLine="560"/>
        <w:rPr>
          <w:rFonts w:ascii="宋体" w:hAnsi="宋体"/>
          <w:sz w:val="28"/>
          <w:szCs w:val="28"/>
        </w:rPr>
      </w:pPr>
      <w:r>
        <w:rPr>
          <w:rFonts w:hint="eastAsia" w:ascii="宋体" w:hAnsi="宋体"/>
          <w:sz w:val="28"/>
          <w:szCs w:val="28"/>
        </w:rPr>
        <w:t>2、坚持尊重自然，环境优先，贯彻可持续发展原则。</w:t>
      </w:r>
    </w:p>
    <w:p w14:paraId="39FC1C41">
      <w:pPr>
        <w:pStyle w:val="5"/>
        <w:spacing w:line="580" w:lineRule="exact"/>
        <w:ind w:firstLine="560"/>
        <w:rPr>
          <w:rFonts w:ascii="宋体" w:hAnsi="宋体"/>
          <w:sz w:val="28"/>
          <w:szCs w:val="28"/>
        </w:rPr>
      </w:pPr>
      <w:r>
        <w:rPr>
          <w:rFonts w:hint="eastAsia" w:ascii="宋体" w:hAnsi="宋体"/>
          <w:sz w:val="28"/>
          <w:szCs w:val="28"/>
        </w:rPr>
        <w:t>3、坚持以人为本、注重文化的原则。立足于山地自然条件和文化背景，体现地域特色与文化传统。</w:t>
      </w:r>
    </w:p>
    <w:p w14:paraId="3275E6D8">
      <w:pPr>
        <w:pStyle w:val="5"/>
        <w:spacing w:line="580" w:lineRule="exact"/>
        <w:ind w:firstLine="560"/>
        <w:rPr>
          <w:rFonts w:ascii="宋体" w:hAnsi="宋体"/>
          <w:sz w:val="28"/>
          <w:szCs w:val="28"/>
        </w:rPr>
      </w:pPr>
      <w:r>
        <w:rPr>
          <w:rFonts w:hint="eastAsia" w:ascii="宋体" w:hAnsi="宋体"/>
          <w:sz w:val="28"/>
          <w:szCs w:val="28"/>
        </w:rPr>
        <w:drawing>
          <wp:anchor distT="0" distB="0" distL="114300" distR="114300" simplePos="0" relativeHeight="251665408" behindDoc="1" locked="0" layoutInCell="1" allowOverlap="1">
            <wp:simplePos x="0" y="0"/>
            <wp:positionH relativeFrom="column">
              <wp:posOffset>436245</wp:posOffset>
            </wp:positionH>
            <wp:positionV relativeFrom="paragraph">
              <wp:posOffset>730250</wp:posOffset>
            </wp:positionV>
            <wp:extent cx="2879725" cy="2270125"/>
            <wp:effectExtent l="0" t="0" r="0" b="0"/>
            <wp:wrapNone/>
            <wp:docPr id="2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7"/>
                    <pic:cNvPicPr>
                      <a:picLocks noChangeAspect="1" noChangeArrowheads="1"/>
                    </pic:cNvPicPr>
                  </pic:nvPicPr>
                  <pic:blipFill>
                    <a:blip r:embed="rId17" cstate="print">
                      <a:clrChange>
                        <a:clrFrom>
                          <a:srgbClr val="FFFFFF"/>
                        </a:clrFrom>
                        <a:clrTo>
                          <a:srgbClr val="FFFFFF">
                            <a:alpha val="0"/>
                          </a:srgbClr>
                        </a:clrTo>
                      </a:clrChange>
                    </a:blip>
                    <a:srcRect/>
                    <a:stretch>
                      <a:fillRect/>
                    </a:stretch>
                  </pic:blipFill>
                  <pic:spPr>
                    <a:xfrm>
                      <a:off x="0" y="0"/>
                      <a:ext cx="2879678" cy="2270040"/>
                    </a:xfrm>
                    <a:prstGeom prst="rect">
                      <a:avLst/>
                    </a:prstGeom>
                    <a:noFill/>
                    <a:ln w="9525">
                      <a:noFill/>
                      <a:miter lim="800000"/>
                      <a:headEnd/>
                      <a:tailEnd/>
                    </a:ln>
                  </pic:spPr>
                </pic:pic>
              </a:graphicData>
            </a:graphic>
          </wp:anchor>
        </w:drawing>
      </w:r>
      <w:r>
        <w:rPr>
          <w:rFonts w:hint="eastAsia" w:ascii="宋体" w:hAnsi="宋体"/>
          <w:sz w:val="28"/>
          <w:szCs w:val="28"/>
        </w:rPr>
        <w:t>4、坚持依山就势，显山露水的原则，注重沿山体线的自然景观保护，尽量保持山体完整，突出山林风景型城市风貌。</w:t>
      </w:r>
    </w:p>
    <w:p w14:paraId="405A0B38">
      <w:pPr>
        <w:pStyle w:val="5"/>
        <w:spacing w:line="580" w:lineRule="exact"/>
        <w:ind w:firstLine="560"/>
        <w:rPr>
          <w:rFonts w:ascii="宋体" w:hAnsi="宋体"/>
          <w:sz w:val="28"/>
          <w:szCs w:val="28"/>
        </w:rPr>
      </w:pPr>
      <w:r>
        <w:rPr>
          <w:rFonts w:ascii="宋体" w:hAnsi="宋体"/>
          <w:sz w:val="28"/>
          <w:szCs w:val="28"/>
        </w:rPr>
        <w:drawing>
          <wp:anchor distT="0" distB="0" distL="114300" distR="114300" simplePos="0" relativeHeight="251664384" behindDoc="1" locked="0" layoutInCell="1" allowOverlap="1">
            <wp:simplePos x="0" y="0"/>
            <wp:positionH relativeFrom="column">
              <wp:posOffset>2995295</wp:posOffset>
            </wp:positionH>
            <wp:positionV relativeFrom="paragraph">
              <wp:posOffset>185420</wp:posOffset>
            </wp:positionV>
            <wp:extent cx="1786890" cy="1978660"/>
            <wp:effectExtent l="0" t="0" r="4445" b="2540"/>
            <wp:wrapNone/>
            <wp:docPr id="2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4"/>
                    <pic:cNvPicPr>
                      <a:picLocks noChangeAspect="1" noChangeArrowheads="1"/>
                    </pic:cNvPicPr>
                  </pic:nvPicPr>
                  <pic:blipFill>
                    <a:blip r:embed="rId18" cstate="print">
                      <a:clrChange>
                        <a:clrFrom>
                          <a:srgbClr val="FFFFFF"/>
                        </a:clrFrom>
                        <a:clrTo>
                          <a:srgbClr val="FFFFFF">
                            <a:alpha val="0"/>
                          </a:srgbClr>
                        </a:clrTo>
                      </a:clrChange>
                    </a:blip>
                    <a:srcRect/>
                    <a:stretch>
                      <a:fillRect/>
                    </a:stretch>
                  </pic:blipFill>
                  <pic:spPr>
                    <a:xfrm>
                      <a:off x="0" y="0"/>
                      <a:ext cx="1786686" cy="1978925"/>
                    </a:xfrm>
                    <a:prstGeom prst="rect">
                      <a:avLst/>
                    </a:prstGeom>
                    <a:noFill/>
                    <a:ln w="9525">
                      <a:noFill/>
                      <a:miter lim="800000"/>
                      <a:headEnd/>
                      <a:tailEnd/>
                    </a:ln>
                  </pic:spPr>
                </pic:pic>
              </a:graphicData>
            </a:graphic>
          </wp:anchor>
        </w:drawing>
      </w:r>
    </w:p>
    <w:p w14:paraId="33161419">
      <w:pPr>
        <w:pStyle w:val="5"/>
        <w:spacing w:line="580" w:lineRule="exact"/>
        <w:ind w:firstLine="560"/>
        <w:rPr>
          <w:rFonts w:ascii="宋体" w:hAnsi="宋体"/>
          <w:sz w:val="28"/>
          <w:szCs w:val="28"/>
        </w:rPr>
      </w:pPr>
    </w:p>
    <w:p w14:paraId="46BF6AD8">
      <w:pPr>
        <w:pStyle w:val="5"/>
        <w:spacing w:line="580" w:lineRule="exact"/>
        <w:ind w:firstLine="560"/>
        <w:rPr>
          <w:rFonts w:ascii="宋体" w:hAnsi="宋体"/>
          <w:sz w:val="28"/>
          <w:szCs w:val="28"/>
        </w:rPr>
      </w:pPr>
    </w:p>
    <w:p w14:paraId="1CD15FD4">
      <w:pPr>
        <w:pStyle w:val="5"/>
        <w:spacing w:line="580" w:lineRule="exact"/>
        <w:ind w:firstLine="560"/>
        <w:rPr>
          <w:rFonts w:ascii="宋体" w:hAnsi="宋体"/>
          <w:sz w:val="28"/>
          <w:szCs w:val="28"/>
        </w:rPr>
      </w:pPr>
    </w:p>
    <w:p w14:paraId="74BF7E9B">
      <w:pPr>
        <w:pStyle w:val="5"/>
        <w:spacing w:line="580" w:lineRule="exact"/>
        <w:ind w:firstLine="560"/>
        <w:rPr>
          <w:rFonts w:ascii="宋体" w:hAnsi="宋体"/>
          <w:sz w:val="28"/>
          <w:szCs w:val="28"/>
        </w:rPr>
      </w:pPr>
    </w:p>
    <w:p w14:paraId="2B57E29A">
      <w:pPr>
        <w:pStyle w:val="5"/>
        <w:spacing w:line="580" w:lineRule="exact"/>
        <w:ind w:firstLine="560"/>
        <w:rPr>
          <w:rFonts w:hint="eastAsia" w:ascii="宋体" w:hAnsi="宋体"/>
          <w:sz w:val="28"/>
          <w:szCs w:val="28"/>
        </w:rPr>
      </w:pPr>
    </w:p>
    <w:p w14:paraId="7A851C2B">
      <w:pPr>
        <w:pStyle w:val="5"/>
        <w:spacing w:line="580" w:lineRule="exact"/>
        <w:ind w:firstLine="560"/>
        <w:rPr>
          <w:rFonts w:ascii="宋体" w:hAnsi="宋体"/>
          <w:sz w:val="28"/>
          <w:szCs w:val="28"/>
        </w:rPr>
      </w:pPr>
      <w:r>
        <w:rPr>
          <w:rFonts w:ascii="宋体" w:hAnsi="宋体"/>
          <w:sz w:val="28"/>
          <w:szCs w:val="28"/>
        </w:rPr>
        <w:t>(</w:t>
      </w:r>
      <w:r>
        <w:rPr>
          <w:rFonts w:hint="eastAsia" w:ascii="宋体" w:hAnsi="宋体"/>
          <w:sz w:val="28"/>
          <w:szCs w:val="28"/>
        </w:rPr>
        <w:t>二</w:t>
      </w:r>
      <w:r>
        <w:rPr>
          <w:rFonts w:ascii="宋体" w:hAnsi="宋体"/>
          <w:sz w:val="28"/>
          <w:szCs w:val="28"/>
        </w:rPr>
        <w:t>)</w:t>
      </w:r>
      <w:r>
        <w:rPr>
          <w:rFonts w:hint="eastAsia" w:ascii="宋体" w:hAnsi="宋体"/>
          <w:sz w:val="28"/>
          <w:szCs w:val="28"/>
        </w:rPr>
        <w:t>景观风貌结构</w:t>
      </w:r>
    </w:p>
    <w:p w14:paraId="252E4729">
      <w:pPr>
        <w:pStyle w:val="5"/>
        <w:spacing w:line="580" w:lineRule="exact"/>
        <w:ind w:firstLine="560"/>
        <w:rPr>
          <w:rFonts w:ascii="宋体" w:hAnsi="宋体"/>
          <w:sz w:val="28"/>
          <w:szCs w:val="28"/>
        </w:rPr>
      </w:pPr>
      <w:r>
        <w:rPr>
          <w:rFonts w:hint="eastAsia" w:ascii="宋体" w:hAnsi="宋体"/>
          <w:sz w:val="28"/>
          <w:szCs w:val="28"/>
        </w:rPr>
        <w:t>对照陵川卫星影像，将城市肌理形态在图上落位，依照建筑布局形式不同，陵川呈现出“一核一环两轴”的形态。</w:t>
      </w:r>
    </w:p>
    <w:p w14:paraId="5872DD71">
      <w:pPr>
        <w:pStyle w:val="5"/>
        <w:spacing w:line="580" w:lineRule="exact"/>
        <w:ind w:firstLine="560"/>
        <w:rPr>
          <w:rFonts w:ascii="宋体" w:hAnsi="宋体"/>
          <w:sz w:val="28"/>
          <w:szCs w:val="28"/>
        </w:rPr>
      </w:pPr>
      <w:r>
        <w:rPr>
          <w:rFonts w:ascii="宋体" w:hAnsi="宋体"/>
          <w:sz w:val="28"/>
          <w:szCs w:val="28"/>
        </w:rPr>
        <w:drawing>
          <wp:anchor distT="0" distB="0" distL="114300" distR="114300" simplePos="0" relativeHeight="251666432" behindDoc="0" locked="0" layoutInCell="1" allowOverlap="1">
            <wp:simplePos x="0" y="0"/>
            <wp:positionH relativeFrom="column">
              <wp:posOffset>1508760</wp:posOffset>
            </wp:positionH>
            <wp:positionV relativeFrom="paragraph">
              <wp:posOffset>112395</wp:posOffset>
            </wp:positionV>
            <wp:extent cx="3376930" cy="3906520"/>
            <wp:effectExtent l="19050" t="0" r="0" b="0"/>
            <wp:wrapNone/>
            <wp:docPr id="2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0"/>
                    <pic:cNvPicPr>
                      <a:picLocks noChangeAspect="1" noChangeArrowheads="1"/>
                    </pic:cNvPicPr>
                  </pic:nvPicPr>
                  <pic:blipFill>
                    <a:blip r:embed="rId19" cstate="print"/>
                    <a:srcRect/>
                    <a:stretch>
                      <a:fillRect/>
                    </a:stretch>
                  </pic:blipFill>
                  <pic:spPr>
                    <a:xfrm>
                      <a:off x="0" y="0"/>
                      <a:ext cx="3376930" cy="3906520"/>
                    </a:xfrm>
                    <a:prstGeom prst="rect">
                      <a:avLst/>
                    </a:prstGeom>
                    <a:noFill/>
                    <a:ln w="9525">
                      <a:noFill/>
                      <a:miter lim="800000"/>
                      <a:headEnd/>
                      <a:tailEnd/>
                    </a:ln>
                  </pic:spPr>
                </pic:pic>
              </a:graphicData>
            </a:graphic>
          </wp:anchor>
        </w:drawing>
      </w:r>
    </w:p>
    <w:p w14:paraId="260B16A7">
      <w:pPr>
        <w:pStyle w:val="5"/>
        <w:spacing w:line="580" w:lineRule="exact"/>
        <w:ind w:firstLine="560"/>
        <w:rPr>
          <w:rFonts w:ascii="宋体" w:hAnsi="宋体"/>
          <w:sz w:val="28"/>
          <w:szCs w:val="28"/>
        </w:rPr>
      </w:pPr>
    </w:p>
    <w:p w14:paraId="6AB670EE">
      <w:pPr>
        <w:pStyle w:val="5"/>
        <w:spacing w:line="580" w:lineRule="exact"/>
        <w:ind w:firstLine="560"/>
        <w:rPr>
          <w:rFonts w:ascii="宋体" w:hAnsi="宋体"/>
          <w:sz w:val="28"/>
          <w:szCs w:val="28"/>
        </w:rPr>
      </w:pPr>
    </w:p>
    <w:p w14:paraId="4D687237">
      <w:pPr>
        <w:pStyle w:val="5"/>
        <w:spacing w:line="580" w:lineRule="exact"/>
        <w:ind w:firstLine="560"/>
        <w:rPr>
          <w:rFonts w:ascii="宋体" w:hAnsi="宋体"/>
          <w:sz w:val="28"/>
          <w:szCs w:val="28"/>
        </w:rPr>
      </w:pPr>
    </w:p>
    <w:p w14:paraId="77B93991">
      <w:pPr>
        <w:pStyle w:val="5"/>
        <w:spacing w:line="580" w:lineRule="exact"/>
        <w:ind w:firstLine="560"/>
        <w:rPr>
          <w:rFonts w:ascii="宋体" w:hAnsi="宋体"/>
          <w:sz w:val="28"/>
          <w:szCs w:val="28"/>
        </w:rPr>
      </w:pPr>
    </w:p>
    <w:p w14:paraId="1B578DBF">
      <w:pPr>
        <w:pStyle w:val="5"/>
        <w:spacing w:line="580" w:lineRule="exact"/>
        <w:ind w:firstLine="560"/>
        <w:rPr>
          <w:rFonts w:ascii="宋体" w:hAnsi="宋体"/>
          <w:sz w:val="28"/>
          <w:szCs w:val="28"/>
        </w:rPr>
      </w:pPr>
    </w:p>
    <w:p w14:paraId="3C304A4C">
      <w:pPr>
        <w:pStyle w:val="5"/>
        <w:spacing w:line="580" w:lineRule="exact"/>
        <w:ind w:firstLine="560"/>
        <w:rPr>
          <w:rFonts w:ascii="宋体" w:hAnsi="宋体"/>
          <w:sz w:val="28"/>
          <w:szCs w:val="28"/>
        </w:rPr>
      </w:pPr>
    </w:p>
    <w:p w14:paraId="65AE1C66">
      <w:pPr>
        <w:pStyle w:val="5"/>
        <w:spacing w:line="580" w:lineRule="exact"/>
        <w:ind w:firstLine="560"/>
        <w:rPr>
          <w:rFonts w:ascii="宋体" w:hAnsi="宋体"/>
          <w:sz w:val="28"/>
          <w:szCs w:val="28"/>
        </w:rPr>
      </w:pPr>
    </w:p>
    <w:p w14:paraId="1971E185">
      <w:pPr>
        <w:pStyle w:val="5"/>
        <w:spacing w:line="580" w:lineRule="exact"/>
        <w:ind w:firstLine="560"/>
        <w:rPr>
          <w:rFonts w:ascii="宋体" w:hAnsi="宋体"/>
          <w:sz w:val="28"/>
          <w:szCs w:val="28"/>
        </w:rPr>
      </w:pPr>
    </w:p>
    <w:p w14:paraId="184E870E">
      <w:pPr>
        <w:pStyle w:val="5"/>
        <w:spacing w:line="580" w:lineRule="exact"/>
        <w:ind w:firstLine="560"/>
        <w:rPr>
          <w:rFonts w:ascii="宋体" w:hAnsi="宋体"/>
          <w:sz w:val="28"/>
          <w:szCs w:val="28"/>
        </w:rPr>
      </w:pPr>
    </w:p>
    <w:p w14:paraId="15AD8086">
      <w:pPr>
        <w:pStyle w:val="5"/>
        <w:spacing w:line="580" w:lineRule="exact"/>
        <w:ind w:firstLine="560"/>
        <w:rPr>
          <w:rFonts w:ascii="宋体" w:hAnsi="宋体"/>
          <w:sz w:val="28"/>
          <w:szCs w:val="28"/>
        </w:rPr>
      </w:pPr>
    </w:p>
    <w:p w14:paraId="2410248F">
      <w:pPr>
        <w:pStyle w:val="5"/>
        <w:spacing w:line="580" w:lineRule="exact"/>
        <w:ind w:firstLine="560"/>
        <w:rPr>
          <w:rFonts w:ascii="宋体" w:hAnsi="宋体"/>
          <w:sz w:val="28"/>
          <w:szCs w:val="28"/>
        </w:rPr>
      </w:pPr>
      <w:r>
        <w:rPr>
          <w:rFonts w:hint="eastAsia" w:ascii="宋体" w:hAnsi="宋体"/>
          <w:sz w:val="28"/>
          <w:szCs w:val="28"/>
        </w:rPr>
        <w:t>规划陵川县城区风貌结构为“两轴拓展、四区联动、绿脉入城、山城相融”。</w:t>
      </w:r>
    </w:p>
    <w:p w14:paraId="268A47D4">
      <w:pPr>
        <w:pStyle w:val="5"/>
        <w:spacing w:line="580" w:lineRule="exact"/>
        <w:ind w:firstLine="560"/>
        <w:rPr>
          <w:rFonts w:ascii="宋体" w:hAnsi="宋体"/>
          <w:sz w:val="28"/>
          <w:szCs w:val="28"/>
        </w:rPr>
      </w:pPr>
      <w:r>
        <w:rPr>
          <w:rFonts w:hint="eastAsia" w:ascii="宋体" w:hAnsi="宋体"/>
          <w:sz w:val="28"/>
          <w:szCs w:val="28"/>
        </w:rPr>
        <w:t>1、两轴拓展</w:t>
      </w:r>
    </w:p>
    <w:p w14:paraId="43CF2501">
      <w:pPr>
        <w:pStyle w:val="5"/>
        <w:spacing w:line="580" w:lineRule="exact"/>
        <w:ind w:firstLine="560"/>
        <w:rPr>
          <w:rFonts w:ascii="宋体" w:hAnsi="宋体"/>
          <w:sz w:val="28"/>
          <w:szCs w:val="28"/>
        </w:rPr>
      </w:pPr>
      <w:r>
        <w:rPr>
          <w:rFonts w:hint="eastAsia" w:ascii="宋体" w:hAnsi="宋体"/>
          <w:sz w:val="28"/>
          <w:szCs w:val="28"/>
        </w:rPr>
        <w:t>以十字形城市发展轴作为城市风貌展示的主要线型通道，沿该轴线向两侧拓展。由中心向南北两侧体现由历史文化向现代文化逐渐过渡的景观风貌特性。在这两条轴线上串联标志性建筑、广场、绿地等核心景观节点，体现陵川城市发展的变化与魅力。</w:t>
      </w:r>
    </w:p>
    <w:p w14:paraId="47555C80">
      <w:pPr>
        <w:pStyle w:val="5"/>
        <w:spacing w:line="580" w:lineRule="exact"/>
        <w:ind w:firstLine="560"/>
        <w:rPr>
          <w:rFonts w:ascii="宋体" w:hAnsi="宋体"/>
          <w:sz w:val="28"/>
          <w:szCs w:val="28"/>
        </w:rPr>
      </w:pPr>
      <w:r>
        <w:rPr>
          <w:rFonts w:hint="eastAsia" w:ascii="宋体" w:hAnsi="宋体"/>
          <w:sz w:val="28"/>
          <w:szCs w:val="28"/>
        </w:rPr>
        <w:t>2、四区联动</w:t>
      </w:r>
    </w:p>
    <w:p w14:paraId="661355E1">
      <w:pPr>
        <w:pStyle w:val="5"/>
        <w:spacing w:line="580" w:lineRule="exact"/>
        <w:ind w:firstLine="560"/>
        <w:rPr>
          <w:rFonts w:ascii="宋体" w:hAnsi="宋体"/>
          <w:sz w:val="28"/>
          <w:szCs w:val="28"/>
        </w:rPr>
      </w:pPr>
      <w:r>
        <w:rPr>
          <w:rFonts w:hint="eastAsia" w:ascii="宋体" w:hAnsi="宋体"/>
          <w:sz w:val="28"/>
          <w:szCs w:val="28"/>
        </w:rPr>
        <w:t>城区共有四个风貌分区：北部居住风貌区、中部老城历史风貌区、南部新城现代风貌区、西南部现代产业风貌区。在中部老城区重点以历史建筑、文物古迹为核心，周边建筑的高度、规模、外立面等应符合该区的历史文化风貌特点，以中低层建筑为主，外立面简洁、古朴，建筑体量不宜过大，与历史建筑的空间肌理相一致。南部新城是陵川县城的门户区域，该区域的建筑应以明快的颜色和中高层的建筑高度为主，建筑与环境风貌着重体现陵川新时代积极向上、蓬勃发展的现代气质。北部旧城是城区内旧城更新的重点区域，该区域应结合地形，将教育建筑与居住建筑风格相融合，体现陵川的文化气质。现代产业区以工业建筑为主，建筑体量较大、建筑密度较大，该区域着重体现陵川的现代工业化气质。</w:t>
      </w:r>
    </w:p>
    <w:p w14:paraId="773450AB">
      <w:pPr>
        <w:pStyle w:val="5"/>
        <w:spacing w:line="580" w:lineRule="exact"/>
        <w:ind w:firstLine="560"/>
        <w:rPr>
          <w:rFonts w:ascii="宋体" w:hAnsi="宋体"/>
          <w:sz w:val="28"/>
          <w:szCs w:val="28"/>
        </w:rPr>
      </w:pPr>
      <w:r>
        <w:rPr>
          <w:rFonts w:hint="eastAsia" w:ascii="宋体" w:hAnsi="宋体"/>
          <w:sz w:val="28"/>
          <w:szCs w:val="28"/>
        </w:rPr>
        <w:t>3、绿脉交织</w:t>
      </w:r>
    </w:p>
    <w:p w14:paraId="771F6035">
      <w:pPr>
        <w:pStyle w:val="5"/>
        <w:spacing w:line="580" w:lineRule="exact"/>
        <w:ind w:firstLine="560"/>
        <w:rPr>
          <w:rFonts w:ascii="宋体" w:hAnsi="宋体"/>
          <w:sz w:val="28"/>
          <w:szCs w:val="28"/>
        </w:rPr>
      </w:pPr>
      <w:r>
        <w:rPr>
          <w:rFonts w:hint="eastAsia" w:ascii="宋体" w:hAnsi="宋体"/>
          <w:sz w:val="28"/>
          <w:szCs w:val="28"/>
        </w:rPr>
        <w:t>以城区外围的山体为背景，结合城区内散布的小型山丘，增加陵川县城内的道路绿化量，或增加主干道路面绿化设置为三块板形式，将城内外的绿色斑块以线性的道路绿化相连，形成绿色脉络，体现陵川“山、城、绿”特色风貌。</w:t>
      </w:r>
    </w:p>
    <w:p w14:paraId="55EF9497">
      <w:pPr>
        <w:pStyle w:val="5"/>
        <w:spacing w:line="580" w:lineRule="exact"/>
        <w:ind w:firstLine="560"/>
        <w:rPr>
          <w:rFonts w:ascii="宋体" w:hAnsi="宋体"/>
          <w:sz w:val="28"/>
          <w:szCs w:val="28"/>
        </w:rPr>
      </w:pPr>
      <w:r>
        <w:rPr>
          <w:rFonts w:hint="eastAsia" w:ascii="宋体" w:hAnsi="宋体"/>
          <w:sz w:val="28"/>
          <w:szCs w:val="28"/>
        </w:rPr>
        <w:t>4、山城相容</w:t>
      </w:r>
    </w:p>
    <w:p w14:paraId="008D4B5C">
      <w:pPr>
        <w:pStyle w:val="5"/>
        <w:spacing w:line="580" w:lineRule="exact"/>
        <w:ind w:firstLine="560"/>
        <w:rPr>
          <w:rFonts w:ascii="宋体" w:hAnsi="宋体"/>
          <w:sz w:val="28"/>
          <w:szCs w:val="28"/>
        </w:rPr>
      </w:pPr>
      <w:r>
        <w:rPr>
          <w:rFonts w:hint="eastAsia" w:ascii="宋体" w:hAnsi="宋体"/>
          <w:sz w:val="28"/>
          <w:szCs w:val="28"/>
        </w:rPr>
        <w:t>注重城内山体和城外山体的景观相互联系，将山与城的关系分为三类，分别打造适合的景观风貌。</w:t>
      </w:r>
    </w:p>
    <w:p w14:paraId="5FC076EA">
      <w:pPr>
        <w:pStyle w:val="5"/>
        <w:spacing w:line="580" w:lineRule="exact"/>
        <w:ind w:firstLine="560"/>
        <w:rPr>
          <w:rFonts w:ascii="宋体" w:hAnsi="宋体"/>
          <w:sz w:val="28"/>
          <w:szCs w:val="28"/>
        </w:rPr>
      </w:pPr>
      <w:r>
        <w:rPr>
          <w:rFonts w:hint="eastAsia" w:ascii="宋体" w:hAnsi="宋体"/>
          <w:sz w:val="28"/>
          <w:szCs w:val="28"/>
        </w:rPr>
        <w:t>谷地：以不侵占山体为原则，在已经出现的平坦谷地上建设城市，不乱挖乱填，节省资源，保护生态，成本较低。</w:t>
      </w:r>
    </w:p>
    <w:p w14:paraId="54298880">
      <w:pPr>
        <w:pStyle w:val="5"/>
        <w:spacing w:line="580" w:lineRule="exact"/>
        <w:ind w:firstLine="560"/>
        <w:rPr>
          <w:rFonts w:ascii="宋体" w:hAnsi="宋体"/>
          <w:sz w:val="28"/>
          <w:szCs w:val="28"/>
        </w:rPr>
      </w:pPr>
      <w:r>
        <w:rPr>
          <w:rFonts w:hint="eastAsia" w:ascii="宋体" w:hAnsi="宋体"/>
          <w:sz w:val="28"/>
          <w:szCs w:val="28"/>
        </w:rPr>
        <w:t>坡地：在中心城区内的可利用山体上，以坡度高差建设所需用房，尽可能少的开挖山体，同时利用高差景观营造较好的视线廊道。</w:t>
      </w:r>
    </w:p>
    <w:p w14:paraId="61141088">
      <w:pPr>
        <w:pStyle w:val="5"/>
        <w:spacing w:line="580" w:lineRule="exact"/>
        <w:ind w:firstLine="560"/>
        <w:rPr>
          <w:rFonts w:ascii="宋体" w:hAnsi="宋体"/>
          <w:sz w:val="28"/>
          <w:szCs w:val="28"/>
        </w:rPr>
      </w:pPr>
      <w:r>
        <w:rPr>
          <w:rFonts w:hint="eastAsia" w:ascii="宋体" w:hAnsi="宋体"/>
          <w:sz w:val="28"/>
          <w:szCs w:val="28"/>
        </w:rPr>
        <w:t>山地：小型山体可进行微调，对山体的某一部分做出平整。</w:t>
      </w:r>
    </w:p>
    <w:p w14:paraId="423318BD">
      <w:pPr>
        <w:pStyle w:val="5"/>
        <w:spacing w:line="580" w:lineRule="exact"/>
        <w:ind w:firstLine="560"/>
        <w:rPr>
          <w:rFonts w:ascii="宋体" w:hAnsi="宋体"/>
          <w:sz w:val="28"/>
          <w:szCs w:val="28"/>
        </w:rPr>
      </w:pPr>
      <w:r>
        <w:rPr>
          <w:rFonts w:ascii="宋体" w:hAnsi="宋体"/>
          <w:sz w:val="28"/>
          <w:szCs w:val="28"/>
        </w:rPr>
        <w:drawing>
          <wp:anchor distT="0" distB="0" distL="114300" distR="114300" simplePos="0" relativeHeight="251667456" behindDoc="1" locked="0" layoutInCell="1" allowOverlap="1">
            <wp:simplePos x="0" y="0"/>
            <wp:positionH relativeFrom="column">
              <wp:posOffset>245110</wp:posOffset>
            </wp:positionH>
            <wp:positionV relativeFrom="paragraph">
              <wp:posOffset>87630</wp:posOffset>
            </wp:positionV>
            <wp:extent cx="2771775" cy="3016250"/>
            <wp:effectExtent l="19050" t="0" r="9525" b="0"/>
            <wp:wrapNone/>
            <wp:docPr id="2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3"/>
                    <pic:cNvPicPr>
                      <a:picLocks noChangeAspect="1" noChangeArrowheads="1"/>
                    </pic:cNvPicPr>
                  </pic:nvPicPr>
                  <pic:blipFill>
                    <a:blip r:embed="rId20" cstate="print"/>
                    <a:srcRect/>
                    <a:stretch>
                      <a:fillRect/>
                    </a:stretch>
                  </pic:blipFill>
                  <pic:spPr>
                    <a:xfrm>
                      <a:off x="0" y="0"/>
                      <a:ext cx="2771775" cy="3016250"/>
                    </a:xfrm>
                    <a:prstGeom prst="rect">
                      <a:avLst/>
                    </a:prstGeom>
                    <a:noFill/>
                    <a:ln w="9525">
                      <a:noFill/>
                      <a:miter lim="800000"/>
                      <a:headEnd/>
                      <a:tailEnd/>
                    </a:ln>
                  </pic:spPr>
                </pic:pic>
              </a:graphicData>
            </a:graphic>
          </wp:anchor>
        </w:drawing>
      </w:r>
    </w:p>
    <w:p w14:paraId="6B1D66A8">
      <w:pPr>
        <w:pStyle w:val="5"/>
        <w:spacing w:line="580" w:lineRule="exact"/>
        <w:ind w:firstLine="560"/>
        <w:rPr>
          <w:rFonts w:ascii="宋体" w:hAnsi="宋体"/>
          <w:sz w:val="28"/>
          <w:szCs w:val="28"/>
        </w:rPr>
      </w:pPr>
      <w:r>
        <w:rPr>
          <w:rFonts w:ascii="宋体" w:hAnsi="宋体"/>
          <w:sz w:val="28"/>
          <w:szCs w:val="28"/>
        </w:rPr>
        <w:drawing>
          <wp:anchor distT="0" distB="0" distL="114300" distR="114300" simplePos="0" relativeHeight="251668480" behindDoc="1" locked="0" layoutInCell="1" allowOverlap="1">
            <wp:simplePos x="0" y="0"/>
            <wp:positionH relativeFrom="column">
              <wp:posOffset>3140710</wp:posOffset>
            </wp:positionH>
            <wp:positionV relativeFrom="paragraph">
              <wp:posOffset>59690</wp:posOffset>
            </wp:positionV>
            <wp:extent cx="1869440" cy="2647950"/>
            <wp:effectExtent l="19050" t="0" r="0" b="0"/>
            <wp:wrapNone/>
            <wp:docPr id="2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6"/>
                    <pic:cNvPicPr>
                      <a:picLocks noChangeAspect="1" noChangeArrowheads="1"/>
                    </pic:cNvPicPr>
                  </pic:nvPicPr>
                  <pic:blipFill>
                    <a:blip r:embed="rId21" cstate="print"/>
                    <a:srcRect/>
                    <a:stretch>
                      <a:fillRect/>
                    </a:stretch>
                  </pic:blipFill>
                  <pic:spPr>
                    <a:xfrm>
                      <a:off x="0" y="0"/>
                      <a:ext cx="1869440" cy="2647950"/>
                    </a:xfrm>
                    <a:prstGeom prst="rect">
                      <a:avLst/>
                    </a:prstGeom>
                    <a:noFill/>
                    <a:ln w="9525">
                      <a:noFill/>
                      <a:miter lim="800000"/>
                      <a:headEnd/>
                      <a:tailEnd/>
                    </a:ln>
                  </pic:spPr>
                </pic:pic>
              </a:graphicData>
            </a:graphic>
          </wp:anchor>
        </w:drawing>
      </w:r>
    </w:p>
    <w:p w14:paraId="54A789CB">
      <w:pPr>
        <w:pStyle w:val="5"/>
        <w:spacing w:line="580" w:lineRule="exact"/>
        <w:ind w:firstLine="560"/>
        <w:rPr>
          <w:rFonts w:ascii="宋体" w:hAnsi="宋体"/>
          <w:sz w:val="28"/>
          <w:szCs w:val="28"/>
        </w:rPr>
      </w:pPr>
    </w:p>
    <w:p w14:paraId="5A8E0DFE">
      <w:pPr>
        <w:pStyle w:val="5"/>
        <w:spacing w:line="580" w:lineRule="exact"/>
        <w:ind w:firstLine="560"/>
        <w:rPr>
          <w:rFonts w:ascii="宋体" w:hAnsi="宋体"/>
          <w:sz w:val="28"/>
          <w:szCs w:val="28"/>
        </w:rPr>
      </w:pPr>
    </w:p>
    <w:p w14:paraId="483EBBC0">
      <w:pPr>
        <w:pStyle w:val="5"/>
        <w:spacing w:line="580" w:lineRule="exact"/>
        <w:ind w:firstLine="560"/>
        <w:rPr>
          <w:rFonts w:ascii="宋体" w:hAnsi="宋体"/>
          <w:sz w:val="28"/>
          <w:szCs w:val="28"/>
        </w:rPr>
      </w:pPr>
    </w:p>
    <w:p w14:paraId="40F3073E">
      <w:pPr>
        <w:pStyle w:val="5"/>
        <w:spacing w:line="580" w:lineRule="exact"/>
        <w:ind w:firstLine="560"/>
        <w:rPr>
          <w:rFonts w:ascii="宋体" w:hAnsi="宋体"/>
          <w:sz w:val="28"/>
          <w:szCs w:val="28"/>
        </w:rPr>
      </w:pPr>
    </w:p>
    <w:p w14:paraId="592F1EF8">
      <w:pPr>
        <w:pStyle w:val="5"/>
        <w:spacing w:line="580" w:lineRule="exact"/>
        <w:ind w:firstLine="560"/>
        <w:rPr>
          <w:rFonts w:ascii="宋体" w:hAnsi="宋体"/>
          <w:sz w:val="28"/>
          <w:szCs w:val="28"/>
        </w:rPr>
      </w:pPr>
    </w:p>
    <w:p w14:paraId="682298FF">
      <w:pPr>
        <w:pStyle w:val="5"/>
        <w:spacing w:line="580" w:lineRule="exact"/>
        <w:ind w:firstLine="560"/>
        <w:rPr>
          <w:rFonts w:ascii="宋体" w:hAnsi="宋体"/>
          <w:sz w:val="28"/>
          <w:szCs w:val="28"/>
        </w:rPr>
      </w:pPr>
    </w:p>
    <w:p w14:paraId="2E2FC712">
      <w:pPr>
        <w:pStyle w:val="5"/>
        <w:spacing w:line="580" w:lineRule="exact"/>
        <w:ind w:firstLine="560"/>
        <w:rPr>
          <w:rFonts w:ascii="宋体" w:hAnsi="宋体"/>
          <w:sz w:val="28"/>
          <w:szCs w:val="28"/>
        </w:rPr>
      </w:pPr>
    </w:p>
    <w:p w14:paraId="60F9A3D5">
      <w:pPr>
        <w:pStyle w:val="5"/>
        <w:spacing w:line="580" w:lineRule="exact"/>
        <w:ind w:firstLine="560"/>
        <w:rPr>
          <w:rFonts w:ascii="宋体" w:hAnsi="宋体"/>
          <w:sz w:val="28"/>
          <w:szCs w:val="28"/>
        </w:rPr>
      </w:pPr>
      <w:r>
        <w:rPr>
          <w:rFonts w:ascii="宋体" w:hAnsi="宋体"/>
          <w:sz w:val="28"/>
          <w:szCs w:val="28"/>
        </w:rPr>
        <w:drawing>
          <wp:anchor distT="0" distB="0" distL="114300" distR="114300" simplePos="0" relativeHeight="251674624" behindDoc="1" locked="0" layoutInCell="1" allowOverlap="1">
            <wp:simplePos x="0" y="0"/>
            <wp:positionH relativeFrom="column">
              <wp:posOffset>-34925</wp:posOffset>
            </wp:positionH>
            <wp:positionV relativeFrom="paragraph">
              <wp:posOffset>32385</wp:posOffset>
            </wp:positionV>
            <wp:extent cx="1664970" cy="1439545"/>
            <wp:effectExtent l="19050" t="0" r="0" b="0"/>
            <wp:wrapNone/>
            <wp:docPr id="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2"/>
                    <pic:cNvPicPr>
                      <a:picLocks noChangeAspect="1" noChangeArrowheads="1"/>
                    </pic:cNvPicPr>
                  </pic:nvPicPr>
                  <pic:blipFill>
                    <a:blip r:embed="rId22" cstate="print"/>
                    <a:srcRect/>
                    <a:stretch>
                      <a:fillRect/>
                    </a:stretch>
                  </pic:blipFill>
                  <pic:spPr>
                    <a:xfrm>
                      <a:off x="0" y="0"/>
                      <a:ext cx="1664970" cy="1439545"/>
                    </a:xfrm>
                    <a:prstGeom prst="rect">
                      <a:avLst/>
                    </a:prstGeom>
                    <a:noFill/>
                    <a:ln w="9525">
                      <a:noFill/>
                      <a:miter lim="800000"/>
                      <a:headEnd/>
                      <a:tailEnd/>
                    </a:ln>
                  </pic:spPr>
                </pic:pic>
              </a:graphicData>
            </a:graphic>
          </wp:anchor>
        </w:drawing>
      </w:r>
      <w:r>
        <w:rPr>
          <w:rFonts w:ascii="宋体" w:hAnsi="宋体"/>
          <w:sz w:val="28"/>
          <w:szCs w:val="28"/>
        </w:rPr>
        <w:drawing>
          <wp:anchor distT="0" distB="0" distL="114300" distR="114300" simplePos="0" relativeHeight="251672576" behindDoc="1" locked="0" layoutInCell="1" allowOverlap="1">
            <wp:simplePos x="0" y="0"/>
            <wp:positionH relativeFrom="column">
              <wp:posOffset>1734820</wp:posOffset>
            </wp:positionH>
            <wp:positionV relativeFrom="paragraph">
              <wp:posOffset>32385</wp:posOffset>
            </wp:positionV>
            <wp:extent cx="1524635" cy="1437005"/>
            <wp:effectExtent l="19050" t="0" r="0" b="0"/>
            <wp:wrapNone/>
            <wp:docPr id="23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9"/>
                    <pic:cNvPicPr>
                      <a:picLocks noChangeAspect="1" noChangeArrowheads="1"/>
                    </pic:cNvPicPr>
                  </pic:nvPicPr>
                  <pic:blipFill>
                    <a:blip r:embed="rId23" cstate="print"/>
                    <a:srcRect/>
                    <a:stretch>
                      <a:fillRect/>
                    </a:stretch>
                  </pic:blipFill>
                  <pic:spPr>
                    <a:xfrm>
                      <a:off x="0" y="0"/>
                      <a:ext cx="1524635" cy="1437005"/>
                    </a:xfrm>
                    <a:prstGeom prst="rect">
                      <a:avLst/>
                    </a:prstGeom>
                    <a:noFill/>
                    <a:ln w="9525">
                      <a:noFill/>
                      <a:miter lim="800000"/>
                      <a:headEnd/>
                      <a:tailEnd/>
                    </a:ln>
                  </pic:spPr>
                </pic:pic>
              </a:graphicData>
            </a:graphic>
          </wp:anchor>
        </w:drawing>
      </w:r>
      <w:r>
        <w:rPr>
          <w:rFonts w:ascii="宋体" w:hAnsi="宋体"/>
          <w:sz w:val="28"/>
          <w:szCs w:val="28"/>
        </w:rPr>
        <w:drawing>
          <wp:anchor distT="0" distB="0" distL="114300" distR="114300" simplePos="0" relativeHeight="251675648" behindDoc="1" locked="0" layoutInCell="1" allowOverlap="1">
            <wp:simplePos x="0" y="0"/>
            <wp:positionH relativeFrom="column">
              <wp:posOffset>3395345</wp:posOffset>
            </wp:positionH>
            <wp:positionV relativeFrom="paragraph">
              <wp:posOffset>32385</wp:posOffset>
            </wp:positionV>
            <wp:extent cx="2439035" cy="1437005"/>
            <wp:effectExtent l="19050" t="0" r="0" b="0"/>
            <wp:wrapNone/>
            <wp:docPr id="2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5"/>
                    <pic:cNvPicPr>
                      <a:picLocks noChangeAspect="1" noChangeArrowheads="1"/>
                    </pic:cNvPicPr>
                  </pic:nvPicPr>
                  <pic:blipFill>
                    <a:blip r:embed="rId24" cstate="print"/>
                    <a:srcRect/>
                    <a:stretch>
                      <a:fillRect/>
                    </a:stretch>
                  </pic:blipFill>
                  <pic:spPr>
                    <a:xfrm>
                      <a:off x="0" y="0"/>
                      <a:ext cx="2439035" cy="1437005"/>
                    </a:xfrm>
                    <a:prstGeom prst="rect">
                      <a:avLst/>
                    </a:prstGeom>
                    <a:noFill/>
                    <a:ln w="9525">
                      <a:noFill/>
                      <a:miter lim="800000"/>
                      <a:headEnd/>
                      <a:tailEnd/>
                    </a:ln>
                  </pic:spPr>
                </pic:pic>
              </a:graphicData>
            </a:graphic>
          </wp:anchor>
        </w:drawing>
      </w:r>
    </w:p>
    <w:p w14:paraId="36B2D5F6">
      <w:pPr>
        <w:pStyle w:val="5"/>
        <w:spacing w:line="580" w:lineRule="exact"/>
        <w:ind w:firstLine="560"/>
        <w:rPr>
          <w:rFonts w:ascii="宋体" w:hAnsi="宋体"/>
          <w:sz w:val="28"/>
          <w:szCs w:val="28"/>
        </w:rPr>
      </w:pPr>
    </w:p>
    <w:p w14:paraId="3B1E4187">
      <w:pPr>
        <w:pStyle w:val="5"/>
        <w:spacing w:line="580" w:lineRule="exact"/>
        <w:ind w:firstLine="560"/>
        <w:rPr>
          <w:rFonts w:ascii="宋体" w:hAnsi="宋体"/>
          <w:sz w:val="28"/>
          <w:szCs w:val="28"/>
        </w:rPr>
      </w:pPr>
    </w:p>
    <w:p w14:paraId="2F0CC938">
      <w:pPr>
        <w:pStyle w:val="5"/>
        <w:spacing w:line="580" w:lineRule="exact"/>
        <w:ind w:firstLine="560"/>
        <w:rPr>
          <w:rFonts w:ascii="宋体" w:hAnsi="宋体"/>
          <w:sz w:val="28"/>
          <w:szCs w:val="28"/>
        </w:rPr>
      </w:pPr>
    </w:p>
    <w:p w14:paraId="6BC6ABAD">
      <w:pPr>
        <w:pStyle w:val="48"/>
        <w:spacing w:line="580" w:lineRule="exact"/>
        <w:jc w:val="both"/>
        <w:rPr>
          <w:b/>
        </w:rPr>
      </w:pPr>
      <w:r>
        <w:rPr>
          <w:rFonts w:hint="eastAsia"/>
          <w:b/>
        </w:rPr>
        <w:t xml:space="preserve"> </w:t>
      </w:r>
      <w:r>
        <w:rPr>
          <w:b/>
        </w:rPr>
        <w:t xml:space="preserve">         </w:t>
      </w:r>
      <w:r>
        <w:rPr>
          <w:rFonts w:hint="eastAsia"/>
          <w:b/>
        </w:rPr>
        <w:t xml:space="preserve">谷地     </w:t>
      </w:r>
      <w:r>
        <w:rPr>
          <w:b/>
        </w:rPr>
        <w:t xml:space="preserve">   </w:t>
      </w:r>
      <w:r>
        <w:rPr>
          <w:rFonts w:hint="eastAsia"/>
          <w:b/>
        </w:rPr>
        <w:t xml:space="preserve">   </w:t>
      </w:r>
      <w:r>
        <w:rPr>
          <w:b/>
        </w:rPr>
        <w:t xml:space="preserve">  </w:t>
      </w:r>
      <w:r>
        <w:rPr>
          <w:rFonts w:hint="eastAsia"/>
          <w:b/>
        </w:rPr>
        <w:t xml:space="preserve">        坡地      </w:t>
      </w:r>
      <w:r>
        <w:rPr>
          <w:b/>
        </w:rPr>
        <w:t xml:space="preserve">   </w:t>
      </w:r>
      <w:r>
        <w:rPr>
          <w:rFonts w:hint="eastAsia"/>
          <w:b/>
        </w:rPr>
        <w:t xml:space="preserve">                   山地</w:t>
      </w:r>
    </w:p>
    <w:p w14:paraId="3F5B481D">
      <w:pPr>
        <w:pStyle w:val="38"/>
        <w:numPr>
          <w:ilvl w:val="0"/>
          <w:numId w:val="8"/>
        </w:numPr>
        <w:spacing w:before="0" w:beforeLines="0" w:after="0" w:afterLines="0" w:line="580" w:lineRule="exact"/>
        <w:rPr>
          <w:rFonts w:ascii="黑体" w:hAnsi="黑体"/>
          <w:b/>
        </w:rPr>
      </w:pPr>
      <w:bookmarkStart w:id="39" w:name="_Toc528317037"/>
      <w:r>
        <w:rPr>
          <w:rFonts w:hint="eastAsia" w:ascii="黑体" w:hAnsi="黑体"/>
          <w:b/>
        </w:rPr>
        <w:t>街道空间引导</w:t>
      </w:r>
      <w:bookmarkEnd w:id="39"/>
    </w:p>
    <w:p w14:paraId="62D832D5">
      <w:pPr>
        <w:pStyle w:val="5"/>
        <w:spacing w:line="580" w:lineRule="exact"/>
        <w:ind w:firstLine="560"/>
        <w:rPr>
          <w:rFonts w:ascii="宋体" w:hAnsi="宋体"/>
          <w:sz w:val="28"/>
          <w:szCs w:val="28"/>
        </w:rPr>
      </w:pPr>
      <w:r>
        <w:rPr>
          <w:rFonts w:hint="eastAsia" w:ascii="宋体" w:hAnsi="宋体"/>
          <w:sz w:val="28"/>
          <w:szCs w:val="28"/>
        </w:rPr>
        <w:t>街道是城市生活和公共空间的重要组成部分，也是城市意向空间的主导因素。根据街道功能类型，对街道空间尺度、建筑界面进行城市设计控制，营造宜人的城市交通和交往空间。</w:t>
      </w:r>
    </w:p>
    <w:p w14:paraId="38FA872A">
      <w:pPr>
        <w:pStyle w:val="5"/>
        <w:spacing w:line="580" w:lineRule="exact"/>
        <w:ind w:firstLine="560"/>
        <w:rPr>
          <w:rFonts w:ascii="宋体" w:hAnsi="宋体"/>
          <w:sz w:val="28"/>
          <w:szCs w:val="28"/>
        </w:rPr>
      </w:pPr>
      <w:r>
        <w:rPr>
          <w:rFonts w:hint="eastAsia" w:ascii="宋体" w:hAnsi="宋体"/>
          <w:sz w:val="28"/>
          <w:szCs w:val="28"/>
        </w:rPr>
        <w:t>外环路、交通性干路都是以快速通过为主要功能，道路空间尺度较开阔，应强化街道立面的整体感，建筑界面宜部分连续且有韵律，并加强街道绿化建设，适应快速交通的视觉景观感受。避免采用大面积玻璃幕墙建筑，减少光污染对交通安全的影响。局部人行活动较多的区域应注重建筑底层空间宜人尺度的塑造。</w:t>
      </w:r>
    </w:p>
    <w:p w14:paraId="4F89E85B">
      <w:pPr>
        <w:pStyle w:val="5"/>
        <w:spacing w:line="580" w:lineRule="exact"/>
        <w:ind w:firstLine="560"/>
        <w:rPr>
          <w:rFonts w:ascii="宋体" w:hAnsi="宋体"/>
          <w:sz w:val="28"/>
          <w:szCs w:val="28"/>
        </w:rPr>
      </w:pPr>
      <w:r>
        <w:rPr>
          <w:rFonts w:hint="eastAsia" w:ascii="宋体" w:hAnsi="宋体"/>
          <w:sz w:val="28"/>
          <w:szCs w:val="28"/>
        </w:rPr>
        <w:t>生活性干路在保证机动车交通要求的同时，重点塑造街道的亲人尺度和生活氛围。道路两侧建筑界面应相对丰富，空间尺度体现人性化尺度，以聚集人气活力。</w:t>
      </w:r>
    </w:p>
    <w:p w14:paraId="7AA1553C">
      <w:pPr>
        <w:pStyle w:val="5"/>
        <w:spacing w:line="580" w:lineRule="exact"/>
        <w:ind w:firstLine="560"/>
        <w:rPr>
          <w:rFonts w:ascii="宋体" w:hAnsi="宋体"/>
          <w:sz w:val="28"/>
          <w:szCs w:val="28"/>
        </w:rPr>
      </w:pPr>
      <w:r>
        <w:rPr>
          <w:rFonts w:hint="eastAsia" w:ascii="宋体" w:hAnsi="宋体"/>
          <w:sz w:val="28"/>
          <w:szCs w:val="28"/>
        </w:rPr>
        <w:t>(一)街道贴线率和贴线控制区控制</w:t>
      </w:r>
    </w:p>
    <w:p w14:paraId="61664F85">
      <w:pPr>
        <w:pStyle w:val="5"/>
        <w:spacing w:line="580" w:lineRule="exact"/>
        <w:ind w:firstLine="560"/>
        <w:rPr>
          <w:rFonts w:ascii="宋体" w:hAnsi="宋体"/>
          <w:sz w:val="28"/>
          <w:szCs w:val="28"/>
        </w:rPr>
      </w:pPr>
      <w:r>
        <w:rPr>
          <w:rFonts w:hint="eastAsia" w:ascii="宋体" w:hAnsi="宋体"/>
          <w:sz w:val="28"/>
          <w:szCs w:val="28"/>
        </w:rPr>
        <w:t>为保持街道立面的紧凑，避免过于空旷或者狭仄的街道感，规划采用贴线率和贴线控制区的方式对沿各类街道的建筑进行控制。</w:t>
      </w:r>
      <w:r>
        <w:rPr>
          <w:rFonts w:ascii="宋体" w:hAnsi="宋体"/>
          <w:sz w:val="28"/>
          <w:szCs w:val="28"/>
        </w:rPr>
        <w:t>“贴线率”是指建筑物的街墙立面线长度与街区建筑退让基准线长度的比值，表示的是由建筑的立面构成的街墙立面至少应该跨及所在街区长度的百分比，即临路建筑物的连续及底层建筑物的退让程度，这个比值越高，沿街面看上去越齐整。为保证沿街建筑形体设计的灵活性和消防、出入口等安全和形象性的要求，在贴线率的基础上划定“贴线控制区”。“贴线控制区”是指建筑退让基准线向内一定距离的控制区域，建筑界面在贴线控制区内向街道的投影长度均被计入街墙立面线的有效长度。因此“贴线率”的计算公式为：贴线率=街墙立面线的有效长度/建筑退让基准线长度。</w:t>
      </w:r>
    </w:p>
    <w:p w14:paraId="3BC10DAC">
      <w:pPr>
        <w:pStyle w:val="5"/>
        <w:spacing w:line="580" w:lineRule="exact"/>
        <w:ind w:firstLine="560"/>
        <w:rPr>
          <w:rFonts w:ascii="宋体" w:hAnsi="宋体"/>
          <w:sz w:val="28"/>
          <w:szCs w:val="28"/>
        </w:rPr>
      </w:pPr>
      <w:r>
        <w:rPr>
          <w:rFonts w:hint="eastAsia" w:ascii="宋体" w:hAnsi="宋体"/>
          <w:sz w:val="28"/>
          <w:szCs w:val="28"/>
        </w:rPr>
        <w:t>中心城区两轴为贴现控制区，宽度控制为5米。为了突出中心区的界面感，整体进行较高的贴线率控制。按照不同类型界面的控制要求，将贴线率按照0.3-0.5、0.5-0.7和0.7-1.0三个等级控制。标志性建筑和不设底商的一般居住区不受贴线率和贴线控制区控制。</w:t>
      </w:r>
    </w:p>
    <w:p w14:paraId="6CBD3C54">
      <w:pPr>
        <w:pStyle w:val="5"/>
        <w:spacing w:line="580" w:lineRule="exact"/>
        <w:ind w:firstLine="560"/>
        <w:rPr>
          <w:rFonts w:ascii="宋体" w:hAnsi="宋体"/>
          <w:sz w:val="28"/>
          <w:szCs w:val="28"/>
        </w:rPr>
      </w:pPr>
      <w:r>
        <w:rPr>
          <w:rFonts w:hint="eastAsia" w:ascii="宋体" w:hAnsi="宋体"/>
          <w:sz w:val="28"/>
          <w:szCs w:val="28"/>
        </w:rPr>
        <w:t>(二)街道高宽比控制</w:t>
      </w:r>
    </w:p>
    <w:p w14:paraId="7B087021">
      <w:pPr>
        <w:pStyle w:val="5"/>
        <w:spacing w:line="580" w:lineRule="exact"/>
        <w:ind w:firstLine="560"/>
        <w:rPr>
          <w:rFonts w:ascii="宋体" w:hAnsi="宋体"/>
          <w:sz w:val="28"/>
          <w:szCs w:val="28"/>
        </w:rPr>
      </w:pPr>
      <w:r>
        <w:rPr>
          <w:rFonts w:hint="eastAsia" w:ascii="宋体" w:hAnsi="宋体"/>
          <w:sz w:val="28"/>
          <w:szCs w:val="28"/>
        </w:rPr>
        <w:t>为保证街道宜人的空间尺度，建议按照不同道路类型对街道高宽比进行控制。将街道两侧建筑外墙的高度设为</w:t>
      </w:r>
      <w:r>
        <w:rPr>
          <w:rFonts w:ascii="宋体" w:hAnsi="宋体"/>
          <w:sz w:val="28"/>
          <w:szCs w:val="28"/>
        </w:rPr>
        <w:t>H</w:t>
      </w:r>
      <w:r>
        <w:rPr>
          <w:rFonts w:hint="eastAsia" w:ascii="宋体" w:hAnsi="宋体"/>
          <w:sz w:val="28"/>
          <w:szCs w:val="28"/>
        </w:rPr>
        <w:t>，将两侧建筑之间的距离设为D，两者之间的比例关系为</w:t>
      </w:r>
      <w:r>
        <w:rPr>
          <w:rFonts w:ascii="宋体" w:hAnsi="宋体"/>
          <w:sz w:val="28"/>
          <w:szCs w:val="28"/>
        </w:rPr>
        <w:t>H/D</w:t>
      </w:r>
      <w:r>
        <w:rPr>
          <w:rFonts w:hint="eastAsia" w:ascii="宋体" w:hAnsi="宋体"/>
          <w:sz w:val="28"/>
          <w:szCs w:val="28"/>
        </w:rPr>
        <w:t>，即街道的高宽比。当街道两侧的建筑包含裙房和塔楼，裙房的高度与裙房之间距离的比值为一次高宽比，塔楼的高度与塔楼之间距离的比值为二次高宽比。</w:t>
      </w:r>
    </w:p>
    <w:p w14:paraId="2B09E24A">
      <w:pPr>
        <w:pStyle w:val="5"/>
        <w:spacing w:line="580" w:lineRule="exact"/>
        <w:ind w:firstLine="560"/>
        <w:rPr>
          <w:rFonts w:ascii="宋体" w:hAnsi="宋体"/>
          <w:sz w:val="28"/>
          <w:szCs w:val="28"/>
        </w:rPr>
      </w:pPr>
      <w:r>
        <w:rPr>
          <w:rFonts w:hint="eastAsia" w:ascii="宋体" w:hAnsi="宋体"/>
          <w:sz w:val="28"/>
          <w:szCs w:val="28"/>
        </w:rPr>
        <w:t>对不同功能不同类型的街道高宽比不同，按照以下原则确定：</w:t>
      </w:r>
    </w:p>
    <w:p w14:paraId="3B608A81">
      <w:pPr>
        <w:pStyle w:val="5"/>
        <w:spacing w:line="580" w:lineRule="exact"/>
        <w:ind w:firstLine="560"/>
        <w:rPr>
          <w:rFonts w:ascii="宋体" w:hAnsi="宋体"/>
          <w:sz w:val="28"/>
          <w:szCs w:val="28"/>
        </w:rPr>
      </w:pPr>
      <w:r>
        <w:rPr>
          <w:rFonts w:hint="eastAsia" w:ascii="宋体" w:hAnsi="宋体"/>
          <w:sz w:val="28"/>
          <w:szCs w:val="28"/>
        </w:rPr>
        <w:t>交通型道路（包括主干路和交通性次干路）：既保证视野的开阔性，保证快速通行；又避免过于空旷，缺乏街道感。因此交通型道路的高宽比数值相对较小。</w:t>
      </w:r>
    </w:p>
    <w:p w14:paraId="4A07D5CA">
      <w:pPr>
        <w:pStyle w:val="5"/>
        <w:spacing w:line="580" w:lineRule="exact"/>
        <w:ind w:firstLine="560"/>
        <w:rPr>
          <w:rFonts w:ascii="宋体" w:hAnsi="宋体"/>
          <w:sz w:val="28"/>
          <w:szCs w:val="28"/>
        </w:rPr>
      </w:pPr>
      <w:r>
        <w:rPr>
          <w:rFonts w:hint="eastAsia" w:ascii="宋体" w:hAnsi="宋体"/>
          <w:sz w:val="28"/>
          <w:szCs w:val="28"/>
        </w:rPr>
        <w:t>生活型道路（包括生活性次干路和支路）：保证视野较为开阔，保证中速交通通行；临近建筑街道注重人性化尺度，聚集人气活力。因此生活型道路的高宽比数值相对较大。</w:t>
      </w:r>
    </w:p>
    <w:p w14:paraId="442C9C2F">
      <w:pPr>
        <w:pStyle w:val="5"/>
        <w:spacing w:line="580" w:lineRule="exact"/>
        <w:ind w:firstLine="560"/>
        <w:rPr>
          <w:rFonts w:ascii="宋体" w:hAnsi="宋体"/>
          <w:sz w:val="28"/>
          <w:szCs w:val="28"/>
        </w:rPr>
      </w:pPr>
      <w:r>
        <w:rPr>
          <w:rFonts w:hint="eastAsia" w:ascii="宋体" w:hAnsi="宋体"/>
          <w:sz w:val="28"/>
          <w:szCs w:val="28"/>
        </w:rPr>
        <w:t>通过调整街道两侧建筑的高度和建筑后退建筑退让基准线的距离来实现控制高宽比的目的。</w:t>
      </w:r>
    </w:p>
    <w:p w14:paraId="7ACC77B2">
      <w:pPr>
        <w:pStyle w:val="5"/>
        <w:spacing w:line="580" w:lineRule="exact"/>
        <w:ind w:firstLine="560"/>
        <w:rPr>
          <w:rFonts w:ascii="宋体" w:hAnsi="宋体"/>
          <w:sz w:val="28"/>
          <w:szCs w:val="28"/>
        </w:rPr>
      </w:pPr>
      <w:r>
        <w:rPr>
          <w:rFonts w:hint="eastAsia" w:ascii="宋体" w:hAnsi="宋体"/>
          <w:sz w:val="28"/>
          <w:szCs w:val="28"/>
        </w:rPr>
        <w:t>根据以上原则，对主要道路的高宽比进行控制。外环路和主干路的街道空间尺度较为空旷，高宽比建议控制在1:3-1:4左右。交通性干路一次高宽比为1:3-1:4左右，二次高宽比为1:2左右。生活性次干路一次高宽比为1:3-1:4左右，二次高宽比为1:1.5左右。支路一次高宽比为1:2左右，二次高宽比为1:1左右。根据不同片区建筑限高的不同，高宽比可适当调整。</w:t>
      </w:r>
    </w:p>
    <w:p w14:paraId="5372F6C6">
      <w:pPr>
        <w:pStyle w:val="5"/>
        <w:spacing w:line="580" w:lineRule="exact"/>
        <w:ind w:firstLine="560"/>
        <w:rPr>
          <w:rFonts w:ascii="宋体" w:hAnsi="宋体"/>
          <w:sz w:val="28"/>
          <w:szCs w:val="28"/>
        </w:rPr>
      </w:pPr>
      <w:r>
        <w:rPr>
          <w:rFonts w:hint="eastAsia" w:ascii="宋体" w:hAnsi="宋体"/>
          <w:sz w:val="28"/>
          <w:szCs w:val="28"/>
        </w:rPr>
        <w:t>(三)分段指引</w:t>
      </w:r>
    </w:p>
    <w:p w14:paraId="0E751635">
      <w:pPr>
        <w:spacing w:line="580" w:lineRule="exact"/>
        <w:ind w:firstLine="700" w:firstLineChars="250"/>
        <w:rPr>
          <w:rFonts w:ascii="宋体" w:hAnsi="宋体"/>
          <w:sz w:val="28"/>
          <w:szCs w:val="28"/>
        </w:rPr>
      </w:pPr>
      <w:r>
        <w:rPr>
          <w:rFonts w:hint="eastAsia" w:ascii="宋体" w:hAnsi="宋体"/>
          <w:sz w:val="28"/>
          <w:szCs w:val="28"/>
        </w:rPr>
        <w:t>按照景观总体结构的分区，对街道各区段进行分项指引。</w:t>
      </w:r>
    </w:p>
    <w:p w14:paraId="532C78B3">
      <w:pPr>
        <w:spacing w:line="580" w:lineRule="exact"/>
        <w:ind w:firstLine="700" w:firstLineChars="250"/>
        <w:rPr>
          <w:rFonts w:hint="eastAsia" w:ascii="宋体" w:hAnsi="宋体"/>
          <w:sz w:val="28"/>
          <w:szCs w:val="28"/>
        </w:rPr>
      </w:pPr>
    </w:p>
    <w:p w14:paraId="3141FD23">
      <w:pPr>
        <w:spacing w:line="580" w:lineRule="exact"/>
        <w:jc w:val="center"/>
        <w:rPr>
          <w:rFonts w:ascii="宋体" w:hAnsi="宋体"/>
          <w:b/>
          <w:sz w:val="28"/>
          <w:szCs w:val="28"/>
        </w:rPr>
      </w:pPr>
      <w:r>
        <w:rPr>
          <w:rFonts w:hint="eastAsia" w:ascii="宋体" w:hAnsi="宋体"/>
          <w:b/>
          <w:sz w:val="28"/>
          <w:szCs w:val="28"/>
        </w:rPr>
        <w:t>表9  街道空间控制一览表</w:t>
      </w:r>
    </w:p>
    <w:tbl>
      <w:tblPr>
        <w:tblStyle w:val="21"/>
        <w:tblW w:w="913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66"/>
        <w:gridCol w:w="974"/>
        <w:gridCol w:w="771"/>
        <w:gridCol w:w="732"/>
        <w:gridCol w:w="567"/>
        <w:gridCol w:w="1904"/>
        <w:gridCol w:w="867"/>
        <w:gridCol w:w="1008"/>
        <w:gridCol w:w="952"/>
        <w:gridCol w:w="895"/>
      </w:tblGrid>
      <w:tr w14:paraId="5688F4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6" w:hRule="atLeast"/>
          <w:tblHeader/>
        </w:trPr>
        <w:tc>
          <w:tcPr>
            <w:tcW w:w="466" w:type="dxa"/>
            <w:vAlign w:val="center"/>
          </w:tcPr>
          <w:p w14:paraId="34CFB2C9">
            <w:pPr>
              <w:pStyle w:val="48"/>
            </w:pPr>
            <w:r>
              <w:rPr>
                <w:rFonts w:hint="eastAsia"/>
              </w:rPr>
              <w:t>序号</w:t>
            </w:r>
          </w:p>
        </w:tc>
        <w:tc>
          <w:tcPr>
            <w:tcW w:w="974" w:type="dxa"/>
            <w:tcBorders>
              <w:right w:val="single" w:color="auto" w:sz="4" w:space="0"/>
            </w:tcBorders>
            <w:vAlign w:val="center"/>
          </w:tcPr>
          <w:p w14:paraId="6D89ECF5">
            <w:pPr>
              <w:pStyle w:val="48"/>
            </w:pPr>
            <w:r>
              <w:rPr>
                <w:rFonts w:hint="eastAsia"/>
              </w:rPr>
              <w:t>道路</w:t>
            </w:r>
          </w:p>
          <w:p w14:paraId="0D8CCFA3">
            <w:pPr>
              <w:pStyle w:val="48"/>
            </w:pPr>
            <w:r>
              <w:rPr>
                <w:rFonts w:hint="eastAsia"/>
              </w:rPr>
              <w:t>名称</w:t>
            </w:r>
          </w:p>
        </w:tc>
        <w:tc>
          <w:tcPr>
            <w:tcW w:w="771" w:type="dxa"/>
            <w:tcBorders>
              <w:left w:val="single" w:color="auto" w:sz="4" w:space="0"/>
              <w:right w:val="single" w:color="auto" w:sz="4" w:space="0"/>
            </w:tcBorders>
            <w:vAlign w:val="center"/>
          </w:tcPr>
          <w:p w14:paraId="446E1192">
            <w:pPr>
              <w:pStyle w:val="48"/>
            </w:pPr>
            <w:r>
              <w:rPr>
                <w:rFonts w:hint="eastAsia"/>
              </w:rPr>
              <w:t>功能定位</w:t>
            </w:r>
          </w:p>
        </w:tc>
        <w:tc>
          <w:tcPr>
            <w:tcW w:w="732" w:type="dxa"/>
            <w:tcBorders>
              <w:left w:val="single" w:color="auto" w:sz="4" w:space="0"/>
            </w:tcBorders>
            <w:vAlign w:val="center"/>
          </w:tcPr>
          <w:p w14:paraId="26A097FE">
            <w:pPr>
              <w:pStyle w:val="48"/>
            </w:pPr>
            <w:r>
              <w:rPr>
                <w:rFonts w:hint="eastAsia"/>
              </w:rPr>
              <w:t>风貌主题</w:t>
            </w:r>
          </w:p>
        </w:tc>
        <w:tc>
          <w:tcPr>
            <w:tcW w:w="567" w:type="dxa"/>
            <w:tcBorders>
              <w:right w:val="single" w:color="auto" w:sz="4" w:space="0"/>
            </w:tcBorders>
            <w:vAlign w:val="center"/>
          </w:tcPr>
          <w:p w14:paraId="0EFCDDE8">
            <w:pPr>
              <w:pStyle w:val="48"/>
            </w:pPr>
            <w:r>
              <w:rPr>
                <w:rFonts w:hint="eastAsia"/>
              </w:rPr>
              <w:t>分段</w:t>
            </w:r>
          </w:p>
        </w:tc>
        <w:tc>
          <w:tcPr>
            <w:tcW w:w="1904" w:type="dxa"/>
            <w:tcBorders>
              <w:left w:val="single" w:color="auto" w:sz="4" w:space="0"/>
            </w:tcBorders>
            <w:vAlign w:val="center"/>
          </w:tcPr>
          <w:p w14:paraId="5E29993F">
            <w:pPr>
              <w:pStyle w:val="48"/>
            </w:pPr>
            <w:r>
              <w:rPr>
                <w:rFonts w:hint="eastAsia"/>
              </w:rPr>
              <w:t>起止点</w:t>
            </w:r>
          </w:p>
        </w:tc>
        <w:tc>
          <w:tcPr>
            <w:tcW w:w="867" w:type="dxa"/>
            <w:vAlign w:val="center"/>
          </w:tcPr>
          <w:p w14:paraId="45EDCC91">
            <w:pPr>
              <w:pStyle w:val="48"/>
            </w:pPr>
            <w:r>
              <w:rPr>
                <w:rFonts w:hint="eastAsia"/>
              </w:rPr>
              <w:t>重要</w:t>
            </w:r>
          </w:p>
          <w:p w14:paraId="755F36D6">
            <w:pPr>
              <w:pStyle w:val="48"/>
            </w:pPr>
            <w:r>
              <w:rPr>
                <w:rFonts w:hint="eastAsia"/>
              </w:rPr>
              <w:t>节点</w:t>
            </w:r>
          </w:p>
        </w:tc>
        <w:tc>
          <w:tcPr>
            <w:tcW w:w="1008" w:type="dxa"/>
            <w:vAlign w:val="center"/>
          </w:tcPr>
          <w:p w14:paraId="12F3595C">
            <w:pPr>
              <w:pStyle w:val="48"/>
            </w:pPr>
            <w:r>
              <w:rPr>
                <w:rFonts w:hint="eastAsia"/>
              </w:rPr>
              <w:t>建筑</w:t>
            </w:r>
          </w:p>
          <w:p w14:paraId="6695414F">
            <w:pPr>
              <w:pStyle w:val="48"/>
            </w:pPr>
            <w:r>
              <w:rPr>
                <w:rFonts w:hint="eastAsia"/>
              </w:rPr>
              <w:t>贴线率</w:t>
            </w:r>
          </w:p>
        </w:tc>
        <w:tc>
          <w:tcPr>
            <w:tcW w:w="952" w:type="dxa"/>
            <w:vAlign w:val="center"/>
          </w:tcPr>
          <w:p w14:paraId="5CE60F19">
            <w:pPr>
              <w:pStyle w:val="48"/>
            </w:pPr>
            <w:r>
              <w:rPr>
                <w:rFonts w:hint="eastAsia"/>
              </w:rPr>
              <w:t>景观</w:t>
            </w:r>
          </w:p>
          <w:p w14:paraId="37A473E5">
            <w:pPr>
              <w:pStyle w:val="48"/>
            </w:pPr>
            <w:r>
              <w:rPr>
                <w:rFonts w:hint="eastAsia"/>
              </w:rPr>
              <w:t>连续性</w:t>
            </w:r>
          </w:p>
        </w:tc>
        <w:tc>
          <w:tcPr>
            <w:tcW w:w="895" w:type="dxa"/>
            <w:vAlign w:val="center"/>
          </w:tcPr>
          <w:p w14:paraId="65A4C315">
            <w:pPr>
              <w:pStyle w:val="48"/>
            </w:pPr>
            <w:r>
              <w:rPr>
                <w:rFonts w:hint="eastAsia"/>
              </w:rPr>
              <w:t>天际线</w:t>
            </w:r>
          </w:p>
        </w:tc>
      </w:tr>
      <w:tr w14:paraId="7EDD44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0" w:hRule="exact"/>
          <w:tblHeader/>
        </w:trPr>
        <w:tc>
          <w:tcPr>
            <w:tcW w:w="466" w:type="dxa"/>
            <w:vMerge w:val="restart"/>
            <w:vAlign w:val="center"/>
          </w:tcPr>
          <w:p w14:paraId="62F309D6">
            <w:pPr>
              <w:pStyle w:val="48"/>
            </w:pPr>
            <w:r>
              <w:rPr>
                <w:rFonts w:hint="eastAsia"/>
              </w:rPr>
              <w:t>1</w:t>
            </w:r>
          </w:p>
        </w:tc>
        <w:tc>
          <w:tcPr>
            <w:tcW w:w="974" w:type="dxa"/>
            <w:vMerge w:val="restart"/>
            <w:tcBorders>
              <w:right w:val="single" w:color="auto" w:sz="4" w:space="0"/>
            </w:tcBorders>
            <w:vAlign w:val="center"/>
          </w:tcPr>
          <w:p w14:paraId="7A581683">
            <w:pPr>
              <w:pStyle w:val="48"/>
            </w:pPr>
            <w:r>
              <w:rPr>
                <w:rFonts w:hint="eastAsia"/>
              </w:rPr>
              <w:t>望洛路</w:t>
            </w:r>
          </w:p>
        </w:tc>
        <w:tc>
          <w:tcPr>
            <w:tcW w:w="771" w:type="dxa"/>
            <w:vMerge w:val="restart"/>
            <w:tcBorders>
              <w:left w:val="single" w:color="auto" w:sz="4" w:space="0"/>
              <w:right w:val="single" w:color="auto" w:sz="4" w:space="0"/>
            </w:tcBorders>
            <w:vAlign w:val="center"/>
          </w:tcPr>
          <w:p w14:paraId="49546365">
            <w:pPr>
              <w:pStyle w:val="48"/>
            </w:pPr>
            <w:r>
              <w:rPr>
                <w:rFonts w:hint="eastAsia"/>
              </w:rPr>
              <w:t>交通</w:t>
            </w:r>
          </w:p>
        </w:tc>
        <w:tc>
          <w:tcPr>
            <w:tcW w:w="732" w:type="dxa"/>
            <w:tcBorders>
              <w:left w:val="single" w:color="auto" w:sz="4" w:space="0"/>
            </w:tcBorders>
            <w:vAlign w:val="center"/>
          </w:tcPr>
          <w:p w14:paraId="421C44B8">
            <w:pPr>
              <w:pStyle w:val="48"/>
            </w:pPr>
            <w:r>
              <w:rPr>
                <w:rFonts w:hint="eastAsia"/>
              </w:rPr>
              <w:t>门户景观</w:t>
            </w:r>
          </w:p>
        </w:tc>
        <w:tc>
          <w:tcPr>
            <w:tcW w:w="567" w:type="dxa"/>
            <w:tcBorders>
              <w:right w:val="single" w:color="auto" w:sz="4" w:space="0"/>
            </w:tcBorders>
            <w:vAlign w:val="center"/>
          </w:tcPr>
          <w:p w14:paraId="75C88F09">
            <w:pPr>
              <w:pStyle w:val="48"/>
            </w:pPr>
            <w:r>
              <w:rPr>
                <w:rFonts w:hint="eastAsia"/>
              </w:rPr>
              <w:t>北</w:t>
            </w:r>
          </w:p>
        </w:tc>
        <w:tc>
          <w:tcPr>
            <w:tcW w:w="1904" w:type="dxa"/>
            <w:tcBorders>
              <w:left w:val="single" w:color="auto" w:sz="4" w:space="0"/>
            </w:tcBorders>
            <w:vAlign w:val="center"/>
          </w:tcPr>
          <w:p w14:paraId="7F38C7BF">
            <w:pPr>
              <w:pStyle w:val="48"/>
            </w:pPr>
            <w:r>
              <w:rPr>
                <w:rFonts w:hint="eastAsia"/>
              </w:rPr>
              <w:t>陵沁线—行颠街</w:t>
            </w:r>
          </w:p>
        </w:tc>
        <w:tc>
          <w:tcPr>
            <w:tcW w:w="867" w:type="dxa"/>
            <w:vAlign w:val="center"/>
          </w:tcPr>
          <w:p w14:paraId="27F92F0D">
            <w:pPr>
              <w:pStyle w:val="48"/>
            </w:pPr>
            <w:r>
              <w:rPr>
                <w:rFonts w:hint="eastAsia"/>
              </w:rPr>
              <w:t>职业</w:t>
            </w:r>
          </w:p>
          <w:p w14:paraId="47729BFF">
            <w:pPr>
              <w:pStyle w:val="48"/>
            </w:pPr>
            <w:r>
              <w:rPr>
                <w:rFonts w:hint="eastAsia"/>
              </w:rPr>
              <w:t>中学</w:t>
            </w:r>
          </w:p>
        </w:tc>
        <w:tc>
          <w:tcPr>
            <w:tcW w:w="1008" w:type="dxa"/>
            <w:vAlign w:val="center"/>
          </w:tcPr>
          <w:p w14:paraId="751D245D">
            <w:pPr>
              <w:pStyle w:val="48"/>
            </w:pPr>
            <w:r>
              <w:rPr>
                <w:rFonts w:hint="eastAsia"/>
              </w:rPr>
              <w:t>0.3-0.5</w:t>
            </w:r>
          </w:p>
        </w:tc>
        <w:tc>
          <w:tcPr>
            <w:tcW w:w="952" w:type="dxa"/>
            <w:vAlign w:val="center"/>
          </w:tcPr>
          <w:p w14:paraId="6E158C2A">
            <w:pPr>
              <w:pStyle w:val="48"/>
            </w:pPr>
            <w:r>
              <w:rPr>
                <w:rFonts w:hint="eastAsia"/>
              </w:rPr>
              <w:t>低</w:t>
            </w:r>
          </w:p>
        </w:tc>
        <w:tc>
          <w:tcPr>
            <w:tcW w:w="895" w:type="dxa"/>
            <w:vAlign w:val="center"/>
          </w:tcPr>
          <w:p w14:paraId="2CE021F3">
            <w:pPr>
              <w:pStyle w:val="48"/>
            </w:pPr>
            <w:r>
              <w:rPr>
                <w:rFonts w:hint="eastAsia"/>
              </w:rPr>
              <w:t>舒缓</w:t>
            </w:r>
          </w:p>
        </w:tc>
      </w:tr>
      <w:tr w14:paraId="10AAC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1" w:hRule="exact"/>
          <w:tblHeader/>
        </w:trPr>
        <w:tc>
          <w:tcPr>
            <w:tcW w:w="466" w:type="dxa"/>
            <w:vMerge w:val="continue"/>
            <w:vAlign w:val="center"/>
          </w:tcPr>
          <w:p w14:paraId="34429CE1">
            <w:pPr>
              <w:pStyle w:val="48"/>
            </w:pPr>
          </w:p>
        </w:tc>
        <w:tc>
          <w:tcPr>
            <w:tcW w:w="974" w:type="dxa"/>
            <w:vMerge w:val="continue"/>
            <w:tcBorders>
              <w:right w:val="single" w:color="auto" w:sz="4" w:space="0"/>
            </w:tcBorders>
            <w:vAlign w:val="center"/>
          </w:tcPr>
          <w:p w14:paraId="41B1DCFB">
            <w:pPr>
              <w:pStyle w:val="48"/>
            </w:pPr>
          </w:p>
        </w:tc>
        <w:tc>
          <w:tcPr>
            <w:tcW w:w="771" w:type="dxa"/>
            <w:vMerge w:val="continue"/>
            <w:tcBorders>
              <w:left w:val="single" w:color="auto" w:sz="4" w:space="0"/>
              <w:right w:val="single" w:color="auto" w:sz="4" w:space="0"/>
            </w:tcBorders>
            <w:vAlign w:val="center"/>
          </w:tcPr>
          <w:p w14:paraId="24D9BDF7">
            <w:pPr>
              <w:pStyle w:val="48"/>
            </w:pPr>
          </w:p>
        </w:tc>
        <w:tc>
          <w:tcPr>
            <w:tcW w:w="732" w:type="dxa"/>
            <w:tcBorders>
              <w:left w:val="single" w:color="auto" w:sz="4" w:space="0"/>
            </w:tcBorders>
            <w:vAlign w:val="center"/>
          </w:tcPr>
          <w:p w14:paraId="1D909E55">
            <w:pPr>
              <w:pStyle w:val="48"/>
            </w:pPr>
            <w:r>
              <w:rPr>
                <w:rFonts w:hint="eastAsia"/>
              </w:rPr>
              <w:t>传统生活</w:t>
            </w:r>
          </w:p>
        </w:tc>
        <w:tc>
          <w:tcPr>
            <w:tcW w:w="567" w:type="dxa"/>
            <w:tcBorders>
              <w:right w:val="single" w:color="auto" w:sz="4" w:space="0"/>
            </w:tcBorders>
            <w:vAlign w:val="center"/>
          </w:tcPr>
          <w:p w14:paraId="7C8978E2">
            <w:pPr>
              <w:pStyle w:val="48"/>
            </w:pPr>
            <w:r>
              <w:rPr>
                <w:rFonts w:hint="eastAsia"/>
              </w:rPr>
              <w:t>中</w:t>
            </w:r>
          </w:p>
        </w:tc>
        <w:tc>
          <w:tcPr>
            <w:tcW w:w="1904" w:type="dxa"/>
            <w:tcBorders>
              <w:left w:val="single" w:color="auto" w:sz="4" w:space="0"/>
            </w:tcBorders>
            <w:vAlign w:val="center"/>
          </w:tcPr>
          <w:p w14:paraId="6162A1A8">
            <w:pPr>
              <w:pStyle w:val="48"/>
            </w:pPr>
            <w:r>
              <w:rPr>
                <w:rFonts w:hint="eastAsia"/>
              </w:rPr>
              <w:t>行颠街—梅园东街</w:t>
            </w:r>
          </w:p>
        </w:tc>
        <w:tc>
          <w:tcPr>
            <w:tcW w:w="867" w:type="dxa"/>
            <w:vAlign w:val="center"/>
          </w:tcPr>
          <w:p w14:paraId="366A8527">
            <w:pPr>
              <w:pStyle w:val="48"/>
            </w:pPr>
            <w:r>
              <w:rPr>
                <w:rFonts w:hint="eastAsia"/>
              </w:rPr>
              <w:t>县政府</w:t>
            </w:r>
          </w:p>
        </w:tc>
        <w:tc>
          <w:tcPr>
            <w:tcW w:w="1008" w:type="dxa"/>
            <w:vAlign w:val="center"/>
          </w:tcPr>
          <w:p w14:paraId="73D3343F">
            <w:pPr>
              <w:pStyle w:val="48"/>
            </w:pPr>
            <w:r>
              <w:rPr>
                <w:rFonts w:hint="eastAsia"/>
              </w:rPr>
              <w:t>0.5-0.7</w:t>
            </w:r>
          </w:p>
        </w:tc>
        <w:tc>
          <w:tcPr>
            <w:tcW w:w="952" w:type="dxa"/>
            <w:vAlign w:val="center"/>
          </w:tcPr>
          <w:p w14:paraId="5C104F38">
            <w:pPr>
              <w:pStyle w:val="48"/>
            </w:pPr>
            <w:r>
              <w:rPr>
                <w:rFonts w:hint="eastAsia"/>
              </w:rPr>
              <w:t>高</w:t>
            </w:r>
          </w:p>
        </w:tc>
        <w:tc>
          <w:tcPr>
            <w:tcW w:w="895" w:type="dxa"/>
            <w:vAlign w:val="center"/>
          </w:tcPr>
          <w:p w14:paraId="2C620369">
            <w:pPr>
              <w:pStyle w:val="48"/>
            </w:pPr>
            <w:r>
              <w:rPr>
                <w:rFonts w:hint="eastAsia"/>
              </w:rPr>
              <w:t>错落</w:t>
            </w:r>
          </w:p>
          <w:p w14:paraId="1F5287BD">
            <w:pPr>
              <w:pStyle w:val="48"/>
            </w:pPr>
            <w:r>
              <w:rPr>
                <w:rFonts w:hint="eastAsia"/>
              </w:rPr>
              <w:t>有致</w:t>
            </w:r>
          </w:p>
        </w:tc>
      </w:tr>
      <w:tr w14:paraId="59D146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1" w:hRule="exact"/>
          <w:tblHeader/>
        </w:trPr>
        <w:tc>
          <w:tcPr>
            <w:tcW w:w="466" w:type="dxa"/>
            <w:vMerge w:val="restart"/>
            <w:vAlign w:val="center"/>
          </w:tcPr>
          <w:p w14:paraId="1B320E3F">
            <w:pPr>
              <w:pStyle w:val="48"/>
            </w:pPr>
            <w:r>
              <w:rPr>
                <w:rFonts w:hint="eastAsia"/>
              </w:rPr>
              <w:t>2</w:t>
            </w:r>
          </w:p>
        </w:tc>
        <w:tc>
          <w:tcPr>
            <w:tcW w:w="974" w:type="dxa"/>
            <w:vMerge w:val="restart"/>
            <w:tcBorders>
              <w:right w:val="single" w:color="auto" w:sz="4" w:space="0"/>
            </w:tcBorders>
            <w:vAlign w:val="center"/>
          </w:tcPr>
          <w:p w14:paraId="359A6772">
            <w:pPr>
              <w:pStyle w:val="48"/>
            </w:pPr>
            <w:r>
              <w:rPr>
                <w:rFonts w:hint="eastAsia"/>
              </w:rPr>
              <w:t>古陵路</w:t>
            </w:r>
          </w:p>
        </w:tc>
        <w:tc>
          <w:tcPr>
            <w:tcW w:w="771" w:type="dxa"/>
            <w:vMerge w:val="restart"/>
            <w:tcBorders>
              <w:left w:val="single" w:color="auto" w:sz="4" w:space="0"/>
              <w:right w:val="single" w:color="auto" w:sz="4" w:space="0"/>
            </w:tcBorders>
            <w:vAlign w:val="center"/>
          </w:tcPr>
          <w:p w14:paraId="0E9A555F">
            <w:pPr>
              <w:pStyle w:val="48"/>
            </w:pPr>
            <w:r>
              <w:rPr>
                <w:rFonts w:hint="eastAsia"/>
              </w:rPr>
              <w:t>交通</w:t>
            </w:r>
          </w:p>
        </w:tc>
        <w:tc>
          <w:tcPr>
            <w:tcW w:w="732" w:type="dxa"/>
            <w:tcBorders>
              <w:left w:val="single" w:color="auto" w:sz="4" w:space="0"/>
            </w:tcBorders>
            <w:vAlign w:val="center"/>
          </w:tcPr>
          <w:p w14:paraId="299867E9">
            <w:pPr>
              <w:pStyle w:val="48"/>
            </w:pPr>
            <w:r>
              <w:rPr>
                <w:rFonts w:hint="eastAsia"/>
              </w:rPr>
              <w:t>新居生活</w:t>
            </w:r>
          </w:p>
        </w:tc>
        <w:tc>
          <w:tcPr>
            <w:tcW w:w="567" w:type="dxa"/>
            <w:tcBorders>
              <w:right w:val="single" w:color="auto" w:sz="4" w:space="0"/>
            </w:tcBorders>
            <w:vAlign w:val="center"/>
          </w:tcPr>
          <w:p w14:paraId="20A0EDCC">
            <w:pPr>
              <w:pStyle w:val="48"/>
            </w:pPr>
            <w:r>
              <w:rPr>
                <w:rFonts w:hint="eastAsia"/>
              </w:rPr>
              <w:t>中</w:t>
            </w:r>
          </w:p>
        </w:tc>
        <w:tc>
          <w:tcPr>
            <w:tcW w:w="1904" w:type="dxa"/>
            <w:tcBorders>
              <w:left w:val="single" w:color="auto" w:sz="4" w:space="0"/>
            </w:tcBorders>
            <w:vAlign w:val="center"/>
          </w:tcPr>
          <w:p w14:paraId="3DB58525">
            <w:pPr>
              <w:pStyle w:val="48"/>
            </w:pPr>
            <w:r>
              <w:rPr>
                <w:rFonts w:hint="eastAsia"/>
              </w:rPr>
              <w:t>梅园东街—紫云街</w:t>
            </w:r>
          </w:p>
        </w:tc>
        <w:tc>
          <w:tcPr>
            <w:tcW w:w="867" w:type="dxa"/>
            <w:vAlign w:val="center"/>
          </w:tcPr>
          <w:p w14:paraId="21E1F8AF">
            <w:pPr>
              <w:pStyle w:val="48"/>
            </w:pPr>
            <w:r>
              <w:rPr>
                <w:rFonts w:hint="eastAsia"/>
              </w:rPr>
              <w:t>南池</w:t>
            </w:r>
          </w:p>
          <w:p w14:paraId="3797B815">
            <w:pPr>
              <w:pStyle w:val="48"/>
            </w:pPr>
            <w:r>
              <w:rPr>
                <w:rFonts w:hint="eastAsia"/>
              </w:rPr>
              <w:t>公园</w:t>
            </w:r>
          </w:p>
        </w:tc>
        <w:tc>
          <w:tcPr>
            <w:tcW w:w="1008" w:type="dxa"/>
            <w:vAlign w:val="center"/>
          </w:tcPr>
          <w:p w14:paraId="7D674519">
            <w:pPr>
              <w:pStyle w:val="48"/>
            </w:pPr>
            <w:r>
              <w:rPr>
                <w:rFonts w:hint="eastAsia"/>
              </w:rPr>
              <w:t>0.5-0.7</w:t>
            </w:r>
          </w:p>
        </w:tc>
        <w:tc>
          <w:tcPr>
            <w:tcW w:w="952" w:type="dxa"/>
            <w:vAlign w:val="center"/>
          </w:tcPr>
          <w:p w14:paraId="575A122C">
            <w:pPr>
              <w:pStyle w:val="48"/>
            </w:pPr>
            <w:r>
              <w:rPr>
                <w:rFonts w:hint="eastAsia"/>
              </w:rPr>
              <w:t>高</w:t>
            </w:r>
          </w:p>
        </w:tc>
        <w:tc>
          <w:tcPr>
            <w:tcW w:w="895" w:type="dxa"/>
            <w:vAlign w:val="center"/>
          </w:tcPr>
          <w:p w14:paraId="191EF37C">
            <w:pPr>
              <w:pStyle w:val="48"/>
            </w:pPr>
            <w:r>
              <w:rPr>
                <w:rFonts w:hint="eastAsia"/>
              </w:rPr>
              <w:t>错落</w:t>
            </w:r>
          </w:p>
          <w:p w14:paraId="0D099F96">
            <w:pPr>
              <w:pStyle w:val="48"/>
            </w:pPr>
            <w:r>
              <w:rPr>
                <w:rFonts w:hint="eastAsia"/>
              </w:rPr>
              <w:t>有致</w:t>
            </w:r>
          </w:p>
        </w:tc>
      </w:tr>
      <w:tr w14:paraId="5D938D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1" w:hRule="exact"/>
          <w:tblHeader/>
        </w:trPr>
        <w:tc>
          <w:tcPr>
            <w:tcW w:w="466" w:type="dxa"/>
            <w:vMerge w:val="continue"/>
            <w:vAlign w:val="center"/>
          </w:tcPr>
          <w:p w14:paraId="1A5E4E20">
            <w:pPr>
              <w:pStyle w:val="48"/>
            </w:pPr>
          </w:p>
        </w:tc>
        <w:tc>
          <w:tcPr>
            <w:tcW w:w="974" w:type="dxa"/>
            <w:vMerge w:val="continue"/>
            <w:tcBorders>
              <w:right w:val="single" w:color="auto" w:sz="4" w:space="0"/>
            </w:tcBorders>
            <w:vAlign w:val="center"/>
          </w:tcPr>
          <w:p w14:paraId="341CF17B">
            <w:pPr>
              <w:pStyle w:val="48"/>
            </w:pPr>
          </w:p>
        </w:tc>
        <w:tc>
          <w:tcPr>
            <w:tcW w:w="771" w:type="dxa"/>
            <w:vMerge w:val="continue"/>
            <w:tcBorders>
              <w:left w:val="single" w:color="auto" w:sz="4" w:space="0"/>
              <w:right w:val="single" w:color="auto" w:sz="4" w:space="0"/>
            </w:tcBorders>
            <w:vAlign w:val="center"/>
          </w:tcPr>
          <w:p w14:paraId="532104B5">
            <w:pPr>
              <w:pStyle w:val="48"/>
            </w:pPr>
          </w:p>
        </w:tc>
        <w:tc>
          <w:tcPr>
            <w:tcW w:w="732" w:type="dxa"/>
            <w:tcBorders>
              <w:left w:val="single" w:color="auto" w:sz="4" w:space="0"/>
            </w:tcBorders>
            <w:vAlign w:val="center"/>
          </w:tcPr>
          <w:p w14:paraId="77F47081">
            <w:pPr>
              <w:pStyle w:val="48"/>
            </w:pPr>
            <w:r>
              <w:rPr>
                <w:rFonts w:hint="eastAsia"/>
              </w:rPr>
              <w:t>门户景观</w:t>
            </w:r>
          </w:p>
        </w:tc>
        <w:tc>
          <w:tcPr>
            <w:tcW w:w="567" w:type="dxa"/>
            <w:tcBorders>
              <w:right w:val="single" w:color="auto" w:sz="4" w:space="0"/>
            </w:tcBorders>
            <w:vAlign w:val="center"/>
          </w:tcPr>
          <w:p w14:paraId="26DBAD44">
            <w:pPr>
              <w:pStyle w:val="48"/>
            </w:pPr>
            <w:r>
              <w:rPr>
                <w:rFonts w:hint="eastAsia"/>
              </w:rPr>
              <w:t>南</w:t>
            </w:r>
          </w:p>
        </w:tc>
        <w:tc>
          <w:tcPr>
            <w:tcW w:w="1904" w:type="dxa"/>
            <w:tcBorders>
              <w:left w:val="single" w:color="auto" w:sz="4" w:space="0"/>
            </w:tcBorders>
            <w:vAlign w:val="center"/>
          </w:tcPr>
          <w:p w14:paraId="1C1B42B0">
            <w:pPr>
              <w:pStyle w:val="48"/>
            </w:pPr>
            <w:r>
              <w:rPr>
                <w:rFonts w:hint="eastAsia"/>
              </w:rPr>
              <w:t>紫云街—望川街</w:t>
            </w:r>
          </w:p>
        </w:tc>
        <w:tc>
          <w:tcPr>
            <w:tcW w:w="867" w:type="dxa"/>
            <w:vAlign w:val="center"/>
          </w:tcPr>
          <w:p w14:paraId="6482A1FB">
            <w:pPr>
              <w:pStyle w:val="48"/>
            </w:pPr>
            <w:r>
              <w:rPr>
                <w:rFonts w:hint="eastAsia"/>
              </w:rPr>
              <w:t>陵川体育场</w:t>
            </w:r>
          </w:p>
        </w:tc>
        <w:tc>
          <w:tcPr>
            <w:tcW w:w="1008" w:type="dxa"/>
            <w:vAlign w:val="center"/>
          </w:tcPr>
          <w:p w14:paraId="692EA000">
            <w:pPr>
              <w:pStyle w:val="48"/>
            </w:pPr>
            <w:r>
              <w:rPr>
                <w:rFonts w:hint="eastAsia"/>
              </w:rPr>
              <w:t>0.3-0.5</w:t>
            </w:r>
          </w:p>
        </w:tc>
        <w:tc>
          <w:tcPr>
            <w:tcW w:w="952" w:type="dxa"/>
            <w:vAlign w:val="center"/>
          </w:tcPr>
          <w:p w14:paraId="77C16B43">
            <w:pPr>
              <w:pStyle w:val="48"/>
            </w:pPr>
            <w:r>
              <w:rPr>
                <w:rFonts w:hint="eastAsia"/>
              </w:rPr>
              <w:t>低</w:t>
            </w:r>
          </w:p>
        </w:tc>
        <w:tc>
          <w:tcPr>
            <w:tcW w:w="895" w:type="dxa"/>
            <w:vAlign w:val="center"/>
          </w:tcPr>
          <w:p w14:paraId="3AFFF2AD">
            <w:pPr>
              <w:pStyle w:val="48"/>
            </w:pPr>
            <w:r>
              <w:rPr>
                <w:rFonts w:hint="eastAsia"/>
              </w:rPr>
              <w:t>舒缓</w:t>
            </w:r>
          </w:p>
        </w:tc>
      </w:tr>
      <w:tr w14:paraId="33BA6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4" w:hRule="exact"/>
          <w:tblHeader/>
        </w:trPr>
        <w:tc>
          <w:tcPr>
            <w:tcW w:w="466" w:type="dxa"/>
            <w:vMerge w:val="restart"/>
            <w:vAlign w:val="center"/>
          </w:tcPr>
          <w:p w14:paraId="55659540">
            <w:pPr>
              <w:pStyle w:val="48"/>
            </w:pPr>
            <w:r>
              <w:rPr>
                <w:rFonts w:hint="eastAsia"/>
              </w:rPr>
              <w:t>3</w:t>
            </w:r>
          </w:p>
        </w:tc>
        <w:tc>
          <w:tcPr>
            <w:tcW w:w="974" w:type="dxa"/>
            <w:vMerge w:val="restart"/>
            <w:tcBorders>
              <w:right w:val="single" w:color="auto" w:sz="4" w:space="0"/>
            </w:tcBorders>
            <w:vAlign w:val="center"/>
          </w:tcPr>
          <w:p w14:paraId="492ED193">
            <w:pPr>
              <w:pStyle w:val="48"/>
            </w:pPr>
            <w:r>
              <w:rPr>
                <w:rFonts w:hint="eastAsia"/>
              </w:rPr>
              <w:t>梅园</w:t>
            </w:r>
          </w:p>
          <w:p w14:paraId="1ACB515D">
            <w:pPr>
              <w:pStyle w:val="48"/>
            </w:pPr>
            <w:r>
              <w:rPr>
                <w:rFonts w:hint="eastAsia"/>
              </w:rPr>
              <w:t>街</w:t>
            </w:r>
          </w:p>
        </w:tc>
        <w:tc>
          <w:tcPr>
            <w:tcW w:w="771" w:type="dxa"/>
            <w:vMerge w:val="restart"/>
            <w:tcBorders>
              <w:left w:val="single" w:color="auto" w:sz="4" w:space="0"/>
              <w:right w:val="single" w:color="auto" w:sz="4" w:space="0"/>
            </w:tcBorders>
            <w:vAlign w:val="center"/>
          </w:tcPr>
          <w:p w14:paraId="3A2D8A3D">
            <w:pPr>
              <w:pStyle w:val="48"/>
            </w:pPr>
            <w:r>
              <w:rPr>
                <w:rFonts w:hint="eastAsia"/>
              </w:rPr>
              <w:t>商业</w:t>
            </w:r>
          </w:p>
        </w:tc>
        <w:tc>
          <w:tcPr>
            <w:tcW w:w="732" w:type="dxa"/>
            <w:tcBorders>
              <w:left w:val="single" w:color="auto" w:sz="4" w:space="0"/>
            </w:tcBorders>
            <w:vAlign w:val="center"/>
          </w:tcPr>
          <w:p w14:paraId="33A6251E">
            <w:pPr>
              <w:pStyle w:val="48"/>
            </w:pPr>
            <w:r>
              <w:rPr>
                <w:rFonts w:hint="eastAsia"/>
              </w:rPr>
              <w:t>门户景观</w:t>
            </w:r>
          </w:p>
        </w:tc>
        <w:tc>
          <w:tcPr>
            <w:tcW w:w="567" w:type="dxa"/>
            <w:tcBorders>
              <w:right w:val="single" w:color="auto" w:sz="4" w:space="0"/>
            </w:tcBorders>
            <w:vAlign w:val="center"/>
          </w:tcPr>
          <w:p w14:paraId="1FEEB46D">
            <w:pPr>
              <w:pStyle w:val="48"/>
            </w:pPr>
            <w:r>
              <w:rPr>
                <w:rFonts w:hint="eastAsia"/>
              </w:rPr>
              <w:t>西</w:t>
            </w:r>
          </w:p>
        </w:tc>
        <w:tc>
          <w:tcPr>
            <w:tcW w:w="1904" w:type="dxa"/>
            <w:tcBorders>
              <w:left w:val="single" w:color="auto" w:sz="4" w:space="0"/>
            </w:tcBorders>
            <w:vAlign w:val="center"/>
          </w:tcPr>
          <w:p w14:paraId="18C27C6C">
            <w:pPr>
              <w:pStyle w:val="48"/>
            </w:pPr>
            <w:r>
              <w:rPr>
                <w:rFonts w:hint="eastAsia"/>
              </w:rPr>
              <w:t>陵沁线—崇西北路</w:t>
            </w:r>
          </w:p>
        </w:tc>
        <w:tc>
          <w:tcPr>
            <w:tcW w:w="867" w:type="dxa"/>
            <w:vAlign w:val="center"/>
          </w:tcPr>
          <w:p w14:paraId="50C30633">
            <w:pPr>
              <w:pStyle w:val="48"/>
            </w:pPr>
            <w:r>
              <w:rPr>
                <w:rFonts w:hint="eastAsia"/>
              </w:rPr>
              <w:t>崇安山地公园</w:t>
            </w:r>
          </w:p>
        </w:tc>
        <w:tc>
          <w:tcPr>
            <w:tcW w:w="1008" w:type="dxa"/>
            <w:vAlign w:val="center"/>
          </w:tcPr>
          <w:p w14:paraId="7D618178">
            <w:pPr>
              <w:pStyle w:val="48"/>
            </w:pPr>
            <w:r>
              <w:rPr>
                <w:rFonts w:hint="eastAsia"/>
              </w:rPr>
              <w:t>0.3-0.5</w:t>
            </w:r>
          </w:p>
        </w:tc>
        <w:tc>
          <w:tcPr>
            <w:tcW w:w="952" w:type="dxa"/>
            <w:vAlign w:val="center"/>
          </w:tcPr>
          <w:p w14:paraId="7AE3A053">
            <w:pPr>
              <w:pStyle w:val="48"/>
            </w:pPr>
            <w:r>
              <w:rPr>
                <w:rFonts w:hint="eastAsia"/>
              </w:rPr>
              <w:t>低</w:t>
            </w:r>
          </w:p>
        </w:tc>
        <w:tc>
          <w:tcPr>
            <w:tcW w:w="895" w:type="dxa"/>
            <w:vAlign w:val="center"/>
          </w:tcPr>
          <w:p w14:paraId="00DFDF76">
            <w:pPr>
              <w:pStyle w:val="48"/>
            </w:pPr>
            <w:r>
              <w:rPr>
                <w:rFonts w:hint="eastAsia"/>
              </w:rPr>
              <w:t>舒缓</w:t>
            </w:r>
          </w:p>
        </w:tc>
      </w:tr>
      <w:tr w14:paraId="78BDC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9" w:hRule="exact"/>
          <w:tblHeader/>
        </w:trPr>
        <w:tc>
          <w:tcPr>
            <w:tcW w:w="466" w:type="dxa"/>
            <w:vMerge w:val="continue"/>
            <w:vAlign w:val="center"/>
          </w:tcPr>
          <w:p w14:paraId="164B1072">
            <w:pPr>
              <w:pStyle w:val="48"/>
            </w:pPr>
          </w:p>
        </w:tc>
        <w:tc>
          <w:tcPr>
            <w:tcW w:w="974" w:type="dxa"/>
            <w:vMerge w:val="continue"/>
            <w:tcBorders>
              <w:right w:val="single" w:color="auto" w:sz="4" w:space="0"/>
            </w:tcBorders>
            <w:vAlign w:val="center"/>
          </w:tcPr>
          <w:p w14:paraId="48FB9546">
            <w:pPr>
              <w:pStyle w:val="48"/>
            </w:pPr>
          </w:p>
        </w:tc>
        <w:tc>
          <w:tcPr>
            <w:tcW w:w="771" w:type="dxa"/>
            <w:vMerge w:val="continue"/>
            <w:tcBorders>
              <w:left w:val="single" w:color="auto" w:sz="4" w:space="0"/>
              <w:right w:val="single" w:color="auto" w:sz="4" w:space="0"/>
            </w:tcBorders>
            <w:vAlign w:val="center"/>
          </w:tcPr>
          <w:p w14:paraId="6BE7159A">
            <w:pPr>
              <w:pStyle w:val="48"/>
            </w:pPr>
          </w:p>
        </w:tc>
        <w:tc>
          <w:tcPr>
            <w:tcW w:w="732" w:type="dxa"/>
            <w:tcBorders>
              <w:left w:val="single" w:color="auto" w:sz="4" w:space="0"/>
            </w:tcBorders>
            <w:vAlign w:val="center"/>
          </w:tcPr>
          <w:p w14:paraId="392F950E">
            <w:pPr>
              <w:pStyle w:val="48"/>
            </w:pPr>
            <w:r>
              <w:rPr>
                <w:rFonts w:hint="eastAsia"/>
              </w:rPr>
              <w:t>商业汇聚</w:t>
            </w:r>
          </w:p>
        </w:tc>
        <w:tc>
          <w:tcPr>
            <w:tcW w:w="567" w:type="dxa"/>
            <w:tcBorders>
              <w:right w:val="single" w:color="auto" w:sz="4" w:space="0"/>
            </w:tcBorders>
            <w:vAlign w:val="center"/>
          </w:tcPr>
          <w:p w14:paraId="190609A4">
            <w:pPr>
              <w:pStyle w:val="48"/>
            </w:pPr>
            <w:r>
              <w:rPr>
                <w:rFonts w:hint="eastAsia"/>
              </w:rPr>
              <w:t>中</w:t>
            </w:r>
          </w:p>
        </w:tc>
        <w:tc>
          <w:tcPr>
            <w:tcW w:w="1904" w:type="dxa"/>
            <w:tcBorders>
              <w:left w:val="single" w:color="auto" w:sz="4" w:space="0"/>
            </w:tcBorders>
            <w:vAlign w:val="center"/>
          </w:tcPr>
          <w:p w14:paraId="57F83DDD">
            <w:pPr>
              <w:pStyle w:val="48"/>
            </w:pPr>
            <w:r>
              <w:rPr>
                <w:rFonts w:hint="eastAsia"/>
              </w:rPr>
              <w:t>崇西北路—紫云街</w:t>
            </w:r>
          </w:p>
        </w:tc>
        <w:tc>
          <w:tcPr>
            <w:tcW w:w="867" w:type="dxa"/>
            <w:vAlign w:val="center"/>
          </w:tcPr>
          <w:p w14:paraId="66B591E4">
            <w:pPr>
              <w:pStyle w:val="48"/>
            </w:pPr>
            <w:r>
              <w:rPr>
                <w:rFonts w:hint="eastAsia"/>
              </w:rPr>
              <w:t>棋源</w:t>
            </w:r>
          </w:p>
          <w:p w14:paraId="3D644118">
            <w:pPr>
              <w:pStyle w:val="48"/>
            </w:pPr>
            <w:r>
              <w:rPr>
                <w:rFonts w:hint="eastAsia"/>
              </w:rPr>
              <w:t>广场</w:t>
            </w:r>
          </w:p>
        </w:tc>
        <w:tc>
          <w:tcPr>
            <w:tcW w:w="1008" w:type="dxa"/>
            <w:vAlign w:val="center"/>
          </w:tcPr>
          <w:p w14:paraId="39A6CBF9">
            <w:pPr>
              <w:pStyle w:val="48"/>
            </w:pPr>
            <w:r>
              <w:rPr>
                <w:rFonts w:hint="eastAsia"/>
              </w:rPr>
              <w:t>0.7-1.0</w:t>
            </w:r>
          </w:p>
        </w:tc>
        <w:tc>
          <w:tcPr>
            <w:tcW w:w="952" w:type="dxa"/>
            <w:vAlign w:val="center"/>
          </w:tcPr>
          <w:p w14:paraId="70442102">
            <w:pPr>
              <w:pStyle w:val="48"/>
            </w:pPr>
            <w:r>
              <w:rPr>
                <w:rFonts w:hint="eastAsia"/>
              </w:rPr>
              <w:t>高</w:t>
            </w:r>
          </w:p>
        </w:tc>
        <w:tc>
          <w:tcPr>
            <w:tcW w:w="895" w:type="dxa"/>
            <w:vAlign w:val="center"/>
          </w:tcPr>
          <w:p w14:paraId="3584B909">
            <w:pPr>
              <w:pStyle w:val="48"/>
            </w:pPr>
            <w:r>
              <w:rPr>
                <w:rFonts w:hint="eastAsia"/>
              </w:rPr>
              <w:t>错落</w:t>
            </w:r>
          </w:p>
          <w:p w14:paraId="5162C4CC">
            <w:pPr>
              <w:pStyle w:val="48"/>
            </w:pPr>
            <w:r>
              <w:rPr>
                <w:rFonts w:hint="eastAsia"/>
              </w:rPr>
              <w:t>有致</w:t>
            </w:r>
          </w:p>
        </w:tc>
      </w:tr>
      <w:tr w14:paraId="2956FF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5" w:hRule="exact"/>
          <w:tblHeader/>
        </w:trPr>
        <w:tc>
          <w:tcPr>
            <w:tcW w:w="466" w:type="dxa"/>
            <w:vMerge w:val="continue"/>
            <w:vAlign w:val="center"/>
          </w:tcPr>
          <w:p w14:paraId="79C0523E">
            <w:pPr>
              <w:pStyle w:val="48"/>
            </w:pPr>
          </w:p>
        </w:tc>
        <w:tc>
          <w:tcPr>
            <w:tcW w:w="974" w:type="dxa"/>
            <w:vMerge w:val="continue"/>
            <w:tcBorders>
              <w:right w:val="single" w:color="auto" w:sz="4" w:space="0"/>
            </w:tcBorders>
            <w:vAlign w:val="center"/>
          </w:tcPr>
          <w:p w14:paraId="0A04A309">
            <w:pPr>
              <w:pStyle w:val="48"/>
            </w:pPr>
          </w:p>
        </w:tc>
        <w:tc>
          <w:tcPr>
            <w:tcW w:w="771" w:type="dxa"/>
            <w:vMerge w:val="continue"/>
            <w:tcBorders>
              <w:left w:val="single" w:color="auto" w:sz="4" w:space="0"/>
              <w:right w:val="single" w:color="auto" w:sz="4" w:space="0"/>
            </w:tcBorders>
            <w:vAlign w:val="center"/>
          </w:tcPr>
          <w:p w14:paraId="1C641F61">
            <w:pPr>
              <w:pStyle w:val="48"/>
            </w:pPr>
          </w:p>
        </w:tc>
        <w:tc>
          <w:tcPr>
            <w:tcW w:w="732" w:type="dxa"/>
            <w:tcBorders>
              <w:left w:val="single" w:color="auto" w:sz="4" w:space="0"/>
            </w:tcBorders>
            <w:vAlign w:val="center"/>
          </w:tcPr>
          <w:p w14:paraId="18C34FFD">
            <w:pPr>
              <w:pStyle w:val="48"/>
            </w:pPr>
            <w:r>
              <w:rPr>
                <w:rFonts w:hint="eastAsia"/>
              </w:rPr>
              <w:t>传统生活</w:t>
            </w:r>
          </w:p>
        </w:tc>
        <w:tc>
          <w:tcPr>
            <w:tcW w:w="567" w:type="dxa"/>
            <w:tcBorders>
              <w:right w:val="single" w:color="auto" w:sz="4" w:space="0"/>
            </w:tcBorders>
            <w:vAlign w:val="center"/>
          </w:tcPr>
          <w:p w14:paraId="4DDF2D4B">
            <w:pPr>
              <w:pStyle w:val="48"/>
            </w:pPr>
            <w:r>
              <w:rPr>
                <w:rFonts w:hint="eastAsia"/>
              </w:rPr>
              <w:t>东</w:t>
            </w:r>
          </w:p>
        </w:tc>
        <w:tc>
          <w:tcPr>
            <w:tcW w:w="1904" w:type="dxa"/>
            <w:tcBorders>
              <w:left w:val="single" w:color="auto" w:sz="4" w:space="0"/>
            </w:tcBorders>
            <w:vAlign w:val="center"/>
          </w:tcPr>
          <w:p w14:paraId="293B84AA">
            <w:pPr>
              <w:pStyle w:val="48"/>
            </w:pPr>
            <w:r>
              <w:rPr>
                <w:rFonts w:hint="eastAsia"/>
              </w:rPr>
              <w:t>紫云街—东外环路</w:t>
            </w:r>
          </w:p>
          <w:p w14:paraId="02177E5C">
            <w:pPr>
              <w:pStyle w:val="48"/>
            </w:pPr>
          </w:p>
          <w:p w14:paraId="18699745">
            <w:pPr>
              <w:pStyle w:val="48"/>
            </w:pPr>
          </w:p>
        </w:tc>
        <w:tc>
          <w:tcPr>
            <w:tcW w:w="867" w:type="dxa"/>
            <w:vAlign w:val="center"/>
          </w:tcPr>
          <w:p w14:paraId="4CCFE65B">
            <w:pPr>
              <w:pStyle w:val="48"/>
            </w:pPr>
            <w:r>
              <w:rPr>
                <w:rFonts w:hint="eastAsia"/>
              </w:rPr>
              <w:t>羊河</w:t>
            </w:r>
          </w:p>
          <w:p w14:paraId="2B8B380C">
            <w:pPr>
              <w:pStyle w:val="48"/>
            </w:pPr>
            <w:r>
              <w:rPr>
                <w:rFonts w:hint="eastAsia"/>
              </w:rPr>
              <w:t>公园</w:t>
            </w:r>
          </w:p>
        </w:tc>
        <w:tc>
          <w:tcPr>
            <w:tcW w:w="1008" w:type="dxa"/>
            <w:vAlign w:val="center"/>
          </w:tcPr>
          <w:p w14:paraId="3DA9DE8D">
            <w:pPr>
              <w:pStyle w:val="48"/>
            </w:pPr>
            <w:r>
              <w:rPr>
                <w:rFonts w:hint="eastAsia"/>
              </w:rPr>
              <w:t>0.5-0.7</w:t>
            </w:r>
          </w:p>
        </w:tc>
        <w:tc>
          <w:tcPr>
            <w:tcW w:w="952" w:type="dxa"/>
            <w:vAlign w:val="center"/>
          </w:tcPr>
          <w:p w14:paraId="3BD6D24B">
            <w:pPr>
              <w:pStyle w:val="48"/>
            </w:pPr>
            <w:r>
              <w:rPr>
                <w:rFonts w:hint="eastAsia"/>
              </w:rPr>
              <w:t>中</w:t>
            </w:r>
          </w:p>
        </w:tc>
        <w:tc>
          <w:tcPr>
            <w:tcW w:w="895" w:type="dxa"/>
            <w:vAlign w:val="center"/>
          </w:tcPr>
          <w:p w14:paraId="24372006">
            <w:pPr>
              <w:pStyle w:val="48"/>
            </w:pPr>
            <w:r>
              <w:rPr>
                <w:rFonts w:hint="eastAsia"/>
              </w:rPr>
              <w:t>起伏</w:t>
            </w:r>
          </w:p>
        </w:tc>
      </w:tr>
      <w:tr w14:paraId="569343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4" w:hRule="exact"/>
          <w:tblHeader/>
        </w:trPr>
        <w:tc>
          <w:tcPr>
            <w:tcW w:w="466" w:type="dxa"/>
            <w:vMerge w:val="restart"/>
            <w:vAlign w:val="center"/>
          </w:tcPr>
          <w:p w14:paraId="102D6437">
            <w:pPr>
              <w:pStyle w:val="48"/>
            </w:pPr>
            <w:r>
              <w:rPr>
                <w:rFonts w:hint="eastAsia"/>
              </w:rPr>
              <w:t>4</w:t>
            </w:r>
          </w:p>
        </w:tc>
        <w:tc>
          <w:tcPr>
            <w:tcW w:w="974" w:type="dxa"/>
            <w:vMerge w:val="restart"/>
            <w:tcBorders>
              <w:right w:val="single" w:color="auto" w:sz="4" w:space="0"/>
            </w:tcBorders>
            <w:vAlign w:val="center"/>
          </w:tcPr>
          <w:p w14:paraId="2EFD370C">
            <w:pPr>
              <w:pStyle w:val="48"/>
            </w:pPr>
            <w:r>
              <w:rPr>
                <w:rFonts w:hint="eastAsia"/>
              </w:rPr>
              <w:t>黄围街</w:t>
            </w:r>
          </w:p>
        </w:tc>
        <w:tc>
          <w:tcPr>
            <w:tcW w:w="771" w:type="dxa"/>
            <w:vMerge w:val="restart"/>
            <w:tcBorders>
              <w:left w:val="single" w:color="auto" w:sz="4" w:space="0"/>
              <w:right w:val="single" w:color="auto" w:sz="4" w:space="0"/>
            </w:tcBorders>
            <w:vAlign w:val="center"/>
          </w:tcPr>
          <w:p w14:paraId="3D0638A7">
            <w:pPr>
              <w:pStyle w:val="48"/>
            </w:pPr>
            <w:r>
              <w:rPr>
                <w:rFonts w:hint="eastAsia"/>
              </w:rPr>
              <w:t>生活</w:t>
            </w:r>
          </w:p>
        </w:tc>
        <w:tc>
          <w:tcPr>
            <w:tcW w:w="732" w:type="dxa"/>
            <w:tcBorders>
              <w:left w:val="single" w:color="auto" w:sz="4" w:space="0"/>
            </w:tcBorders>
            <w:vAlign w:val="center"/>
          </w:tcPr>
          <w:p w14:paraId="633453D0">
            <w:pPr>
              <w:pStyle w:val="48"/>
            </w:pPr>
            <w:r>
              <w:rPr>
                <w:rFonts w:hint="eastAsia"/>
              </w:rPr>
              <w:t>门户景观</w:t>
            </w:r>
          </w:p>
        </w:tc>
        <w:tc>
          <w:tcPr>
            <w:tcW w:w="567" w:type="dxa"/>
            <w:tcBorders>
              <w:right w:val="single" w:color="auto" w:sz="4" w:space="0"/>
            </w:tcBorders>
            <w:vAlign w:val="center"/>
          </w:tcPr>
          <w:p w14:paraId="6DA52E54">
            <w:pPr>
              <w:pStyle w:val="48"/>
            </w:pPr>
            <w:r>
              <w:rPr>
                <w:rFonts w:hint="eastAsia"/>
              </w:rPr>
              <w:t>西</w:t>
            </w:r>
          </w:p>
        </w:tc>
        <w:tc>
          <w:tcPr>
            <w:tcW w:w="1904" w:type="dxa"/>
            <w:tcBorders>
              <w:left w:val="single" w:color="auto" w:sz="4" w:space="0"/>
            </w:tcBorders>
            <w:vAlign w:val="center"/>
          </w:tcPr>
          <w:p w14:paraId="39364685">
            <w:pPr>
              <w:pStyle w:val="48"/>
            </w:pPr>
            <w:r>
              <w:rPr>
                <w:rFonts w:hint="eastAsia"/>
              </w:rPr>
              <w:t>西外环—古陵路</w:t>
            </w:r>
          </w:p>
        </w:tc>
        <w:tc>
          <w:tcPr>
            <w:tcW w:w="867" w:type="dxa"/>
            <w:vAlign w:val="center"/>
          </w:tcPr>
          <w:p w14:paraId="1F86B214">
            <w:pPr>
              <w:pStyle w:val="48"/>
            </w:pPr>
            <w:r>
              <w:rPr>
                <w:rFonts w:hint="eastAsia"/>
              </w:rPr>
              <w:t>党校</w:t>
            </w:r>
          </w:p>
        </w:tc>
        <w:tc>
          <w:tcPr>
            <w:tcW w:w="1008" w:type="dxa"/>
            <w:vAlign w:val="center"/>
          </w:tcPr>
          <w:p w14:paraId="4CEA9946">
            <w:pPr>
              <w:pStyle w:val="48"/>
            </w:pPr>
            <w:r>
              <w:rPr>
                <w:rFonts w:hint="eastAsia"/>
              </w:rPr>
              <w:t>0.3-0.5</w:t>
            </w:r>
          </w:p>
        </w:tc>
        <w:tc>
          <w:tcPr>
            <w:tcW w:w="952" w:type="dxa"/>
            <w:vAlign w:val="center"/>
          </w:tcPr>
          <w:p w14:paraId="5E3633CA">
            <w:pPr>
              <w:pStyle w:val="48"/>
            </w:pPr>
            <w:r>
              <w:rPr>
                <w:rFonts w:hint="eastAsia"/>
              </w:rPr>
              <w:t>低</w:t>
            </w:r>
          </w:p>
        </w:tc>
        <w:tc>
          <w:tcPr>
            <w:tcW w:w="895" w:type="dxa"/>
            <w:vAlign w:val="center"/>
          </w:tcPr>
          <w:p w14:paraId="60FA1447">
            <w:pPr>
              <w:pStyle w:val="48"/>
            </w:pPr>
            <w:r>
              <w:rPr>
                <w:rFonts w:hint="eastAsia"/>
              </w:rPr>
              <w:t>舒缓</w:t>
            </w:r>
          </w:p>
        </w:tc>
      </w:tr>
      <w:tr w14:paraId="5AAE00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exact"/>
          <w:tblHeader/>
        </w:trPr>
        <w:tc>
          <w:tcPr>
            <w:tcW w:w="466" w:type="dxa"/>
            <w:vMerge w:val="continue"/>
            <w:vAlign w:val="center"/>
          </w:tcPr>
          <w:p w14:paraId="3B948D02">
            <w:pPr>
              <w:pStyle w:val="48"/>
            </w:pPr>
          </w:p>
        </w:tc>
        <w:tc>
          <w:tcPr>
            <w:tcW w:w="974" w:type="dxa"/>
            <w:vMerge w:val="continue"/>
            <w:tcBorders>
              <w:right w:val="single" w:color="auto" w:sz="4" w:space="0"/>
            </w:tcBorders>
            <w:vAlign w:val="center"/>
          </w:tcPr>
          <w:p w14:paraId="21404D1D">
            <w:pPr>
              <w:pStyle w:val="48"/>
            </w:pPr>
          </w:p>
        </w:tc>
        <w:tc>
          <w:tcPr>
            <w:tcW w:w="771" w:type="dxa"/>
            <w:vMerge w:val="continue"/>
            <w:tcBorders>
              <w:left w:val="single" w:color="auto" w:sz="4" w:space="0"/>
              <w:right w:val="single" w:color="auto" w:sz="4" w:space="0"/>
            </w:tcBorders>
            <w:vAlign w:val="center"/>
          </w:tcPr>
          <w:p w14:paraId="4F40D964">
            <w:pPr>
              <w:pStyle w:val="48"/>
            </w:pPr>
          </w:p>
        </w:tc>
        <w:tc>
          <w:tcPr>
            <w:tcW w:w="732" w:type="dxa"/>
            <w:tcBorders>
              <w:left w:val="single" w:color="auto" w:sz="4" w:space="0"/>
            </w:tcBorders>
            <w:vAlign w:val="center"/>
          </w:tcPr>
          <w:p w14:paraId="209BEA4C">
            <w:pPr>
              <w:pStyle w:val="48"/>
            </w:pPr>
            <w:r>
              <w:rPr>
                <w:rFonts w:hint="eastAsia"/>
              </w:rPr>
              <w:t>新居生活</w:t>
            </w:r>
          </w:p>
        </w:tc>
        <w:tc>
          <w:tcPr>
            <w:tcW w:w="567" w:type="dxa"/>
            <w:tcBorders>
              <w:right w:val="single" w:color="auto" w:sz="4" w:space="0"/>
            </w:tcBorders>
            <w:vAlign w:val="center"/>
          </w:tcPr>
          <w:p w14:paraId="4DB63A08">
            <w:pPr>
              <w:pStyle w:val="48"/>
            </w:pPr>
            <w:r>
              <w:rPr>
                <w:rFonts w:hint="eastAsia"/>
              </w:rPr>
              <w:t>中</w:t>
            </w:r>
          </w:p>
        </w:tc>
        <w:tc>
          <w:tcPr>
            <w:tcW w:w="1904" w:type="dxa"/>
            <w:tcBorders>
              <w:left w:val="single" w:color="auto" w:sz="4" w:space="0"/>
            </w:tcBorders>
            <w:vAlign w:val="center"/>
          </w:tcPr>
          <w:p w14:paraId="5ECCD5F2">
            <w:pPr>
              <w:pStyle w:val="48"/>
            </w:pPr>
            <w:r>
              <w:rPr>
                <w:rFonts w:hint="eastAsia"/>
              </w:rPr>
              <w:t>古陵路—东外环</w:t>
            </w:r>
          </w:p>
        </w:tc>
        <w:tc>
          <w:tcPr>
            <w:tcW w:w="867" w:type="dxa"/>
            <w:vAlign w:val="center"/>
          </w:tcPr>
          <w:p w14:paraId="736204C6">
            <w:pPr>
              <w:pStyle w:val="48"/>
            </w:pPr>
            <w:r>
              <w:rPr>
                <w:rFonts w:hint="eastAsia"/>
              </w:rPr>
              <w:t>展览馆</w:t>
            </w:r>
          </w:p>
        </w:tc>
        <w:tc>
          <w:tcPr>
            <w:tcW w:w="1008" w:type="dxa"/>
            <w:vAlign w:val="center"/>
          </w:tcPr>
          <w:p w14:paraId="76ED5F0E">
            <w:pPr>
              <w:pStyle w:val="48"/>
            </w:pPr>
            <w:r>
              <w:rPr>
                <w:rFonts w:hint="eastAsia"/>
              </w:rPr>
              <w:t>0.5-0.7</w:t>
            </w:r>
          </w:p>
        </w:tc>
        <w:tc>
          <w:tcPr>
            <w:tcW w:w="952" w:type="dxa"/>
            <w:vAlign w:val="center"/>
          </w:tcPr>
          <w:p w14:paraId="3BB41ECF">
            <w:pPr>
              <w:pStyle w:val="48"/>
            </w:pPr>
            <w:r>
              <w:rPr>
                <w:rFonts w:hint="eastAsia"/>
              </w:rPr>
              <w:t>中</w:t>
            </w:r>
          </w:p>
        </w:tc>
        <w:tc>
          <w:tcPr>
            <w:tcW w:w="895" w:type="dxa"/>
            <w:vAlign w:val="center"/>
          </w:tcPr>
          <w:p w14:paraId="3F4E71FE">
            <w:pPr>
              <w:pStyle w:val="48"/>
            </w:pPr>
            <w:r>
              <w:rPr>
                <w:rFonts w:hint="eastAsia"/>
              </w:rPr>
              <w:t>起伏</w:t>
            </w:r>
          </w:p>
        </w:tc>
      </w:tr>
      <w:tr w14:paraId="6AF84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7" w:hRule="exact"/>
          <w:tblHeader/>
        </w:trPr>
        <w:tc>
          <w:tcPr>
            <w:tcW w:w="466" w:type="dxa"/>
            <w:vMerge w:val="continue"/>
            <w:vAlign w:val="center"/>
          </w:tcPr>
          <w:p w14:paraId="6AA8FC96">
            <w:pPr>
              <w:pStyle w:val="48"/>
            </w:pPr>
          </w:p>
        </w:tc>
        <w:tc>
          <w:tcPr>
            <w:tcW w:w="974" w:type="dxa"/>
            <w:vMerge w:val="continue"/>
            <w:tcBorders>
              <w:right w:val="single" w:color="auto" w:sz="4" w:space="0"/>
            </w:tcBorders>
            <w:vAlign w:val="center"/>
          </w:tcPr>
          <w:p w14:paraId="34CB24BE">
            <w:pPr>
              <w:pStyle w:val="48"/>
            </w:pPr>
          </w:p>
        </w:tc>
        <w:tc>
          <w:tcPr>
            <w:tcW w:w="771" w:type="dxa"/>
            <w:vMerge w:val="continue"/>
            <w:tcBorders>
              <w:left w:val="single" w:color="auto" w:sz="4" w:space="0"/>
              <w:right w:val="single" w:color="auto" w:sz="4" w:space="0"/>
            </w:tcBorders>
            <w:vAlign w:val="center"/>
          </w:tcPr>
          <w:p w14:paraId="60C398CC">
            <w:pPr>
              <w:pStyle w:val="48"/>
            </w:pPr>
          </w:p>
        </w:tc>
        <w:tc>
          <w:tcPr>
            <w:tcW w:w="732" w:type="dxa"/>
            <w:tcBorders>
              <w:left w:val="single" w:color="auto" w:sz="4" w:space="0"/>
            </w:tcBorders>
            <w:vAlign w:val="center"/>
          </w:tcPr>
          <w:p w14:paraId="61BF0EB4">
            <w:pPr>
              <w:pStyle w:val="48"/>
            </w:pPr>
            <w:r>
              <w:rPr>
                <w:rFonts w:hint="eastAsia"/>
              </w:rPr>
              <w:t>城市绿廊</w:t>
            </w:r>
          </w:p>
        </w:tc>
        <w:tc>
          <w:tcPr>
            <w:tcW w:w="567" w:type="dxa"/>
            <w:tcBorders>
              <w:right w:val="single" w:color="auto" w:sz="4" w:space="0"/>
            </w:tcBorders>
            <w:vAlign w:val="center"/>
          </w:tcPr>
          <w:p w14:paraId="4A87D03D">
            <w:pPr>
              <w:pStyle w:val="48"/>
            </w:pPr>
            <w:r>
              <w:rPr>
                <w:rFonts w:hint="eastAsia"/>
              </w:rPr>
              <w:t>东</w:t>
            </w:r>
          </w:p>
        </w:tc>
        <w:tc>
          <w:tcPr>
            <w:tcW w:w="1904" w:type="dxa"/>
            <w:tcBorders>
              <w:left w:val="single" w:color="auto" w:sz="4" w:space="0"/>
            </w:tcBorders>
            <w:vAlign w:val="center"/>
          </w:tcPr>
          <w:p w14:paraId="1F72960B">
            <w:pPr>
              <w:pStyle w:val="48"/>
            </w:pPr>
            <w:r>
              <w:rPr>
                <w:rFonts w:hint="eastAsia"/>
              </w:rPr>
              <w:t>东外环—陵修路</w:t>
            </w:r>
          </w:p>
        </w:tc>
        <w:tc>
          <w:tcPr>
            <w:tcW w:w="867" w:type="dxa"/>
            <w:vAlign w:val="center"/>
          </w:tcPr>
          <w:p w14:paraId="358552EE">
            <w:pPr>
              <w:pStyle w:val="48"/>
            </w:pPr>
            <w:r>
              <w:rPr>
                <w:rFonts w:hint="eastAsia"/>
              </w:rPr>
              <w:t>城市</w:t>
            </w:r>
          </w:p>
          <w:p w14:paraId="226A8214">
            <w:pPr>
              <w:pStyle w:val="48"/>
            </w:pPr>
            <w:r>
              <w:rPr>
                <w:rFonts w:hint="eastAsia"/>
              </w:rPr>
              <w:t>绿化</w:t>
            </w:r>
          </w:p>
        </w:tc>
        <w:tc>
          <w:tcPr>
            <w:tcW w:w="1008" w:type="dxa"/>
            <w:vAlign w:val="center"/>
          </w:tcPr>
          <w:p w14:paraId="104C28DF">
            <w:pPr>
              <w:pStyle w:val="48"/>
            </w:pPr>
            <w:r>
              <w:rPr>
                <w:rFonts w:hint="eastAsia"/>
              </w:rPr>
              <w:t>-</w:t>
            </w:r>
          </w:p>
        </w:tc>
        <w:tc>
          <w:tcPr>
            <w:tcW w:w="952" w:type="dxa"/>
            <w:vAlign w:val="center"/>
          </w:tcPr>
          <w:p w14:paraId="068675B4">
            <w:pPr>
              <w:pStyle w:val="48"/>
            </w:pPr>
            <w:r>
              <w:rPr>
                <w:rFonts w:hint="eastAsia"/>
              </w:rPr>
              <w:t>低</w:t>
            </w:r>
          </w:p>
        </w:tc>
        <w:tc>
          <w:tcPr>
            <w:tcW w:w="895" w:type="dxa"/>
            <w:vAlign w:val="center"/>
          </w:tcPr>
          <w:p w14:paraId="4FF44508">
            <w:pPr>
              <w:pStyle w:val="48"/>
            </w:pPr>
            <w:r>
              <w:rPr>
                <w:rFonts w:hint="eastAsia"/>
              </w:rPr>
              <w:t>舒缓</w:t>
            </w:r>
          </w:p>
        </w:tc>
      </w:tr>
    </w:tbl>
    <w:p w14:paraId="56B31D22">
      <w:pPr>
        <w:pStyle w:val="5"/>
        <w:spacing w:line="580" w:lineRule="exact"/>
        <w:ind w:firstLine="560"/>
        <w:rPr>
          <w:rFonts w:ascii="宋体" w:hAnsi="宋体"/>
          <w:sz w:val="28"/>
          <w:szCs w:val="28"/>
        </w:rPr>
      </w:pPr>
      <w:r>
        <w:rPr>
          <w:rFonts w:hint="eastAsia" w:ascii="宋体" w:hAnsi="宋体"/>
          <w:sz w:val="28"/>
          <w:szCs w:val="28"/>
        </w:rPr>
        <w:t>(一)色彩</w:t>
      </w:r>
      <w:r>
        <w:rPr>
          <w:rFonts w:ascii="宋体" w:hAnsi="宋体"/>
          <w:sz w:val="28"/>
          <w:szCs w:val="28"/>
        </w:rPr>
        <w:t>载体</w:t>
      </w:r>
    </w:p>
    <w:p w14:paraId="36ADEFB6">
      <w:pPr>
        <w:pStyle w:val="5"/>
        <w:spacing w:line="580" w:lineRule="exact"/>
        <w:ind w:firstLine="560"/>
        <w:rPr>
          <w:rFonts w:ascii="宋体" w:hAnsi="宋体"/>
          <w:sz w:val="28"/>
          <w:szCs w:val="28"/>
        </w:rPr>
      </w:pPr>
      <w:r>
        <w:rPr>
          <w:rFonts w:hint="eastAsia" w:ascii="宋体" w:hAnsi="宋体"/>
          <w:sz w:val="28"/>
          <w:szCs w:val="28"/>
        </w:rPr>
        <w:t>色彩规划主要载体为建筑和环境艺术。建筑载体分为科研建筑、居住建筑、中小学、幼儿园及公共服务建筑三种类型，其中科研建筑包括：科研用地内各类科研院所、工程技术研究中心、各类实验室、企业技术中心等从事科研技术活动的企事业单位建筑；居住建筑包括居住用地内所有住宅建筑；公共服务类建筑包括：中小学、幼儿园、邻里单元服务中心建筑、行政办公建筑、文化设施建筑、体育场馆建筑、医疗卫生建筑、商业商务办公建筑及道路与交通设施建筑。环境艺术载体包括：铺地、雕塑、环境市政设施以及各类环境艺术小品。</w:t>
      </w:r>
    </w:p>
    <w:p w14:paraId="5BB7ADE3">
      <w:pPr>
        <w:pStyle w:val="5"/>
        <w:spacing w:line="580" w:lineRule="exact"/>
        <w:ind w:firstLine="560"/>
        <w:rPr>
          <w:rFonts w:ascii="宋体" w:hAnsi="宋体"/>
          <w:sz w:val="28"/>
          <w:szCs w:val="28"/>
        </w:rPr>
      </w:pPr>
      <w:r>
        <w:rPr>
          <w:rFonts w:hint="eastAsia" w:ascii="宋体" w:hAnsi="宋体"/>
          <w:sz w:val="28"/>
          <w:szCs w:val="28"/>
        </w:rPr>
        <w:t>(二)色彩构成要素</w:t>
      </w:r>
    </w:p>
    <w:p w14:paraId="73242236">
      <w:pPr>
        <w:pStyle w:val="5"/>
        <w:spacing w:line="580" w:lineRule="exact"/>
        <w:ind w:firstLine="560"/>
        <w:rPr>
          <w:rFonts w:ascii="宋体" w:hAnsi="宋体"/>
          <w:sz w:val="28"/>
          <w:szCs w:val="28"/>
        </w:rPr>
      </w:pPr>
      <w:r>
        <w:rPr>
          <w:rFonts w:hint="eastAsia" w:ascii="宋体" w:hAnsi="宋体"/>
          <w:sz w:val="28"/>
          <w:szCs w:val="28"/>
        </w:rPr>
        <w:t>基调色：为建筑及环境艺术用色面积最大的颜色，如墙面、铺地。能够决定建筑和环境艺术的整体色彩氛围，常选用高明度的无彩色或低彩度色。</w:t>
      </w:r>
    </w:p>
    <w:p w14:paraId="51C1FA6A">
      <w:pPr>
        <w:pStyle w:val="5"/>
        <w:spacing w:line="580" w:lineRule="exact"/>
        <w:ind w:firstLine="560"/>
        <w:rPr>
          <w:rFonts w:ascii="宋体" w:hAnsi="宋体"/>
          <w:sz w:val="28"/>
          <w:szCs w:val="28"/>
        </w:rPr>
      </w:pPr>
      <w:r>
        <w:rPr>
          <w:rFonts w:hint="eastAsia" w:ascii="宋体" w:hAnsi="宋体"/>
          <w:sz w:val="28"/>
          <w:szCs w:val="28"/>
        </w:rPr>
        <w:t>配合色：建筑及环境艺术用色面积比例仅次于基调色的色彩，包括建筑的屋顶、屋檐、高层建筑裙楼的墙面等形成轮廓的色彩以及城市家具、雕塑、小品环境艺术设施的主色彩等。</w:t>
      </w:r>
    </w:p>
    <w:p w14:paraId="400EC53D">
      <w:pPr>
        <w:pStyle w:val="5"/>
        <w:spacing w:line="580" w:lineRule="exact"/>
        <w:ind w:firstLine="560"/>
        <w:rPr>
          <w:rFonts w:ascii="宋体" w:hAnsi="宋体"/>
          <w:sz w:val="28"/>
          <w:szCs w:val="28"/>
        </w:rPr>
      </w:pPr>
      <w:r>
        <w:rPr>
          <w:rFonts w:hint="eastAsia" w:ascii="宋体" w:hAnsi="宋体"/>
          <w:sz w:val="28"/>
          <w:szCs w:val="28"/>
        </w:rPr>
        <w:t>点缀色：建筑和环境艺术中小面积使用的点缀性和强调性色块，点缀色的使用可以使得建筑和环境艺术设施更加鲜明生动，富有个性。点缀色常用于建筑门窗、墙壁、城市家具小品的重点突出部分。</w:t>
      </w:r>
    </w:p>
    <w:p w14:paraId="10A5C19B">
      <w:pPr>
        <w:pStyle w:val="5"/>
        <w:spacing w:line="580" w:lineRule="exact"/>
        <w:ind w:firstLine="560"/>
        <w:rPr>
          <w:rFonts w:ascii="宋体" w:hAnsi="宋体"/>
          <w:sz w:val="28"/>
          <w:szCs w:val="28"/>
        </w:rPr>
      </w:pPr>
      <w:r>
        <w:rPr>
          <w:rFonts w:hint="eastAsia" w:ascii="宋体" w:hAnsi="宋体"/>
          <w:sz w:val="28"/>
          <w:szCs w:val="28"/>
        </w:rPr>
        <w:t>(三)色彩</w:t>
      </w:r>
      <w:r>
        <w:rPr>
          <w:rFonts w:ascii="宋体" w:hAnsi="宋体"/>
          <w:sz w:val="28"/>
          <w:szCs w:val="28"/>
        </w:rPr>
        <w:t>规划</w:t>
      </w:r>
    </w:p>
    <w:p w14:paraId="1BA37AA0">
      <w:pPr>
        <w:pStyle w:val="5"/>
        <w:spacing w:line="580" w:lineRule="exact"/>
        <w:ind w:firstLine="560"/>
        <w:rPr>
          <w:rFonts w:ascii="宋体" w:hAnsi="宋体"/>
          <w:sz w:val="28"/>
          <w:szCs w:val="28"/>
        </w:rPr>
      </w:pPr>
      <w:r>
        <w:rPr>
          <w:rFonts w:hint="eastAsia" w:ascii="宋体" w:hAnsi="宋体"/>
          <w:sz w:val="28"/>
          <w:szCs w:val="28"/>
        </w:rPr>
        <w:t>北部旧城风貌区、中部老城历史风貌区、南部新城现代风貌区、西南部现代产业风貌区</w:t>
      </w:r>
    </w:p>
    <w:p w14:paraId="15215FCE">
      <w:pPr>
        <w:spacing w:line="580" w:lineRule="exact"/>
        <w:ind w:firstLine="560" w:firstLineChars="200"/>
        <w:rPr>
          <w:rFonts w:ascii="宋体" w:hAnsi="宋体"/>
          <w:sz w:val="28"/>
          <w:szCs w:val="28"/>
        </w:rPr>
      </w:pPr>
      <w:r>
        <w:rPr>
          <w:rFonts w:hint="eastAsia" w:ascii="宋体" w:hAnsi="宋体"/>
          <w:sz w:val="28"/>
          <w:szCs w:val="28"/>
        </w:rPr>
        <w:t>1、老城历史风貌区</w:t>
      </w:r>
    </w:p>
    <w:p w14:paraId="475E5899">
      <w:pPr>
        <w:spacing w:line="580" w:lineRule="exact"/>
        <w:ind w:firstLine="560" w:firstLineChars="200"/>
        <w:rPr>
          <w:rFonts w:ascii="宋体" w:hAnsi="宋体"/>
          <w:sz w:val="28"/>
          <w:szCs w:val="28"/>
        </w:rPr>
      </w:pPr>
      <w:r>
        <w:rPr>
          <w:rFonts w:hint="eastAsia" w:ascii="宋体" w:hAnsi="宋体"/>
          <w:sz w:val="28"/>
          <w:szCs w:val="28"/>
        </w:rPr>
        <w:t>区域内部主要以居住和公共服务为主，片区中南北走向的崇安街两侧存在大量商业，所以在遵循古风古韵现状色彩的基础上，为了使崇安街的整体颜色更加协调。本区域主色为灰色，辅助色推荐使用黄红（YR）和黄色（Y），点缀色推荐使用灰色（N）和红色（R）。</w:t>
      </w:r>
    </w:p>
    <w:p w14:paraId="1CE214EC">
      <w:pPr>
        <w:pStyle w:val="5"/>
        <w:spacing w:line="580" w:lineRule="exact"/>
        <w:ind w:firstLine="560"/>
        <w:rPr>
          <w:rFonts w:ascii="宋体" w:hAnsi="宋体"/>
          <w:sz w:val="28"/>
          <w:szCs w:val="28"/>
        </w:rPr>
      </w:pPr>
      <w:r>
        <w:rPr>
          <w:rFonts w:hint="eastAsia" w:ascii="宋体" w:hAnsi="宋体"/>
          <w:sz w:val="28"/>
          <w:szCs w:val="28"/>
        </w:rPr>
        <w:t>2、新城现代风貌区</w:t>
      </w:r>
    </w:p>
    <w:p w14:paraId="1DEFB096">
      <w:pPr>
        <w:pStyle w:val="5"/>
        <w:spacing w:line="580" w:lineRule="exact"/>
        <w:ind w:firstLine="560"/>
        <w:rPr>
          <w:rFonts w:ascii="宋体" w:hAnsi="宋体"/>
          <w:sz w:val="28"/>
          <w:szCs w:val="28"/>
        </w:rPr>
      </w:pPr>
      <w:r>
        <w:rPr>
          <w:rFonts w:hint="eastAsia" w:ascii="宋体" w:hAnsi="宋体"/>
          <w:sz w:val="28"/>
          <w:szCs w:val="28"/>
        </w:rPr>
        <w:t>是陵川最具潜力和活力的区域，也是陵川未来主要发展的区域。这区域主色推荐使用高明度的灰色（N）和黄色（Y），辅助色推荐使用灰色（N）和黄色（Y），点缀色推荐使用灰色（N）、红紫色（RP）和红色（R）。</w:t>
      </w:r>
    </w:p>
    <w:p w14:paraId="06DEA9F2">
      <w:pPr>
        <w:pStyle w:val="5"/>
        <w:spacing w:line="580" w:lineRule="exact"/>
        <w:ind w:firstLine="560"/>
        <w:rPr>
          <w:rFonts w:ascii="宋体" w:hAnsi="宋体"/>
          <w:sz w:val="28"/>
          <w:szCs w:val="28"/>
        </w:rPr>
      </w:pPr>
      <w:r>
        <w:rPr>
          <w:rFonts w:hint="eastAsia" w:ascii="宋体" w:hAnsi="宋体"/>
          <w:sz w:val="28"/>
          <w:szCs w:val="28"/>
        </w:rPr>
        <w:t>3、旧城风貌区</w:t>
      </w:r>
    </w:p>
    <w:p w14:paraId="09B486B1">
      <w:pPr>
        <w:pStyle w:val="5"/>
        <w:spacing w:line="580" w:lineRule="exact"/>
        <w:ind w:firstLine="560"/>
        <w:rPr>
          <w:rFonts w:ascii="宋体" w:hAnsi="宋体"/>
          <w:sz w:val="28"/>
          <w:szCs w:val="28"/>
        </w:rPr>
      </w:pPr>
      <w:r>
        <w:rPr>
          <w:rFonts w:hint="eastAsia" w:ascii="宋体" w:hAnsi="宋体"/>
          <w:sz w:val="28"/>
          <w:szCs w:val="28"/>
        </w:rPr>
        <w:t>片区内存在着大量较为陈旧的建筑，望洛路两侧存在部分商业建筑。现状色彩较为凌乱。本区域主色推荐使用明度较高的灰色（N）和黄色（Y），辅助色推荐使用灰色（N）、黄色（Y）和红色（R），点缀色推荐使用黄色（Y）和红色（R）。</w:t>
      </w:r>
    </w:p>
    <w:p w14:paraId="4DD9F63C">
      <w:pPr>
        <w:pStyle w:val="5"/>
        <w:spacing w:line="580" w:lineRule="exact"/>
        <w:ind w:firstLine="560"/>
        <w:rPr>
          <w:rFonts w:ascii="宋体" w:hAnsi="宋体"/>
          <w:sz w:val="28"/>
          <w:szCs w:val="28"/>
        </w:rPr>
      </w:pPr>
      <w:r>
        <w:rPr>
          <w:rFonts w:hint="eastAsia" w:ascii="宋体" w:hAnsi="宋体"/>
          <w:sz w:val="28"/>
          <w:szCs w:val="28"/>
        </w:rPr>
        <w:t>4、现代产业风貌区</w:t>
      </w:r>
    </w:p>
    <w:p w14:paraId="54D896A7">
      <w:pPr>
        <w:pStyle w:val="5"/>
        <w:spacing w:line="580" w:lineRule="exact"/>
        <w:ind w:firstLine="560"/>
        <w:rPr>
          <w:rFonts w:ascii="宋体" w:hAnsi="宋体"/>
          <w:sz w:val="28"/>
          <w:szCs w:val="28"/>
        </w:rPr>
      </w:pPr>
      <w:r>
        <w:rPr>
          <w:rFonts w:hint="eastAsia" w:ascii="宋体" w:hAnsi="宋体"/>
          <w:sz w:val="28"/>
          <w:szCs w:val="28"/>
        </w:rPr>
        <w:t>位于中心城区的西南侧，现状主要为村庄和农田，有少部分工业厂房，未来开发建设过程中，推荐使用的主色调以高明度的灰色（N）为主。</w:t>
      </w:r>
    </w:p>
    <w:p w14:paraId="531A017F">
      <w:pPr>
        <w:pStyle w:val="38"/>
        <w:numPr>
          <w:ilvl w:val="0"/>
          <w:numId w:val="8"/>
        </w:numPr>
        <w:spacing w:before="0" w:beforeLines="0" w:after="0" w:afterLines="0" w:line="580" w:lineRule="exact"/>
        <w:rPr>
          <w:rFonts w:ascii="黑体" w:hAnsi="黑体"/>
          <w:b/>
        </w:rPr>
      </w:pPr>
      <w:bookmarkStart w:id="40" w:name="_Toc528317038"/>
      <w:r>
        <w:rPr>
          <w:rFonts w:hint="eastAsia" w:ascii="黑体" w:hAnsi="黑体"/>
          <w:b/>
        </w:rPr>
        <w:t>建筑设计引导</w:t>
      </w:r>
      <w:bookmarkEnd w:id="40"/>
    </w:p>
    <w:p w14:paraId="573CFB4B">
      <w:pPr>
        <w:pStyle w:val="37"/>
        <w:spacing w:line="580" w:lineRule="exact"/>
        <w:ind w:firstLine="560"/>
        <w:rPr>
          <w:sz w:val="28"/>
          <w:szCs w:val="28"/>
        </w:rPr>
      </w:pPr>
      <w:r>
        <w:rPr>
          <w:rFonts w:hint="eastAsia"/>
          <w:sz w:val="28"/>
          <w:szCs w:val="28"/>
        </w:rPr>
        <w:t>总体应采用简洁现代的风格，鼓励建筑与环境设计中融入山西、晋东南地区的传统元素。标志性建筑必须体现山西和晋东南地域特色。对建筑设计的控制主要包括建筑长高比、立面节奏以及建筑虚实比三个要素。</w:t>
      </w:r>
    </w:p>
    <w:p w14:paraId="4402720A">
      <w:pPr>
        <w:pStyle w:val="37"/>
        <w:spacing w:line="580" w:lineRule="exact"/>
        <w:ind w:firstLine="560"/>
        <w:rPr>
          <w:sz w:val="28"/>
          <w:szCs w:val="28"/>
        </w:rPr>
      </w:pPr>
      <w:r>
        <w:rPr>
          <w:rFonts w:hint="eastAsia"/>
          <w:sz w:val="28"/>
          <w:szCs w:val="28"/>
        </w:rPr>
        <w:t>(一)建筑</w:t>
      </w:r>
      <w:r>
        <w:rPr>
          <w:sz w:val="28"/>
          <w:szCs w:val="28"/>
        </w:rPr>
        <w:t>长高比</w:t>
      </w:r>
      <w:r>
        <w:rPr>
          <w:rFonts w:hint="eastAsia"/>
          <w:sz w:val="28"/>
          <w:szCs w:val="28"/>
        </w:rPr>
        <w:t>控制</w:t>
      </w:r>
    </w:p>
    <w:p w14:paraId="41EC7943">
      <w:pPr>
        <w:pStyle w:val="37"/>
        <w:spacing w:line="580" w:lineRule="exact"/>
        <w:ind w:firstLine="560"/>
        <w:rPr>
          <w:sz w:val="28"/>
          <w:szCs w:val="28"/>
        </w:rPr>
      </w:pPr>
      <w:r>
        <w:rPr>
          <w:rFonts w:hint="eastAsia"/>
          <w:sz w:val="28"/>
          <w:szCs w:val="28"/>
        </w:rPr>
        <w:t>建筑</w:t>
      </w:r>
      <w:r>
        <w:rPr>
          <w:sz w:val="28"/>
          <w:szCs w:val="28"/>
        </w:rPr>
        <w:t>长高比对街道景观</w:t>
      </w:r>
      <w:r>
        <w:rPr>
          <w:rFonts w:hint="eastAsia"/>
          <w:sz w:val="28"/>
          <w:szCs w:val="28"/>
        </w:rPr>
        <w:t>和</w:t>
      </w:r>
      <w:r>
        <w:rPr>
          <w:sz w:val="28"/>
          <w:szCs w:val="28"/>
        </w:rPr>
        <w:t>视线均有较大影响。</w:t>
      </w:r>
      <w:r>
        <w:rPr>
          <w:rFonts w:hint="eastAsia"/>
          <w:sz w:val="28"/>
          <w:szCs w:val="28"/>
        </w:rPr>
        <w:t>在</w:t>
      </w:r>
      <w:r>
        <w:rPr>
          <w:sz w:val="28"/>
          <w:szCs w:val="28"/>
        </w:rPr>
        <w:t>一般性的街道沿线，</w:t>
      </w:r>
      <w:r>
        <w:rPr>
          <w:rFonts w:hint="eastAsia"/>
          <w:sz w:val="28"/>
          <w:szCs w:val="28"/>
        </w:rPr>
        <w:t>宽度过大</w:t>
      </w:r>
      <w:r>
        <w:rPr>
          <w:sz w:val="28"/>
          <w:szCs w:val="28"/>
        </w:rPr>
        <w:t>的高层建筑以及长度过</w:t>
      </w:r>
      <w:r>
        <w:rPr>
          <w:rFonts w:hint="eastAsia"/>
          <w:sz w:val="28"/>
          <w:szCs w:val="28"/>
        </w:rPr>
        <w:t>大</w:t>
      </w:r>
      <w:r>
        <w:rPr>
          <w:sz w:val="28"/>
          <w:szCs w:val="28"/>
        </w:rPr>
        <w:t>的</w:t>
      </w:r>
      <w:r>
        <w:rPr>
          <w:rFonts w:hint="eastAsia"/>
          <w:sz w:val="28"/>
          <w:szCs w:val="28"/>
        </w:rPr>
        <w:t>多层</w:t>
      </w:r>
      <w:r>
        <w:rPr>
          <w:sz w:val="28"/>
          <w:szCs w:val="28"/>
        </w:rPr>
        <w:t>建筑均会</w:t>
      </w:r>
      <w:r>
        <w:rPr>
          <w:rFonts w:hint="eastAsia"/>
          <w:sz w:val="28"/>
          <w:szCs w:val="28"/>
        </w:rPr>
        <w:t>给人</w:t>
      </w:r>
      <w:r>
        <w:rPr>
          <w:sz w:val="28"/>
          <w:szCs w:val="28"/>
        </w:rPr>
        <w:t>造成压抑感，</w:t>
      </w:r>
      <w:r>
        <w:rPr>
          <w:rFonts w:hint="eastAsia"/>
          <w:sz w:val="28"/>
          <w:szCs w:val="28"/>
        </w:rPr>
        <w:t>设计</w:t>
      </w:r>
      <w:r>
        <w:rPr>
          <w:sz w:val="28"/>
          <w:szCs w:val="28"/>
        </w:rPr>
        <w:t>中应尽量避免出现长高比不适宜的建筑。</w:t>
      </w:r>
      <w:r>
        <w:rPr>
          <w:rFonts w:hint="eastAsia"/>
          <w:sz w:val="28"/>
          <w:szCs w:val="28"/>
        </w:rPr>
        <w:t>根据总体</w:t>
      </w:r>
      <w:r>
        <w:rPr>
          <w:sz w:val="28"/>
          <w:szCs w:val="28"/>
        </w:rPr>
        <w:t>城市设计</w:t>
      </w:r>
      <w:r>
        <w:rPr>
          <w:rFonts w:hint="eastAsia"/>
          <w:sz w:val="28"/>
          <w:szCs w:val="28"/>
        </w:rPr>
        <w:t>，单体建筑长度应符合“建筑长度与高度控制图”的要求。该图将建筑体型划分为三种范围：可接受的范围、需要评估的范围以及不可接受的范围，其中黄色区域为需要评估的范围。在可接受的范围内，建筑长宽比比例舒适，建筑体量不会对周围环境产生消极影响。在不接受的范围内，建筑体量比例超大，对周边环境区域产生消极的影响，不鼓励该类型的建筑体量。在可接受范围和不接受范围之间是需评估的范围，这种比例的建筑队环境是否产生消极影响，还要取决于基地环境和建筑设计师采用的设计手法等，如开发项目是否强化街景，是否周边项目仍然能够看到绿色和蓝色公共空间，以及是否采用了打破建筑体量的设计手法等。</w:t>
      </w:r>
    </w:p>
    <w:p w14:paraId="14FCC877">
      <w:pPr>
        <w:pStyle w:val="37"/>
        <w:spacing w:line="580" w:lineRule="exact"/>
        <w:ind w:firstLine="480"/>
        <w:rPr>
          <w:sz w:val="28"/>
          <w:szCs w:val="28"/>
        </w:rPr>
      </w:pPr>
      <w:r>
        <w:drawing>
          <wp:anchor distT="0" distB="0" distL="114300" distR="114300" simplePos="0" relativeHeight="251676672" behindDoc="1" locked="0" layoutInCell="1" allowOverlap="1">
            <wp:simplePos x="0" y="0"/>
            <wp:positionH relativeFrom="column">
              <wp:posOffset>387985</wp:posOffset>
            </wp:positionH>
            <wp:positionV relativeFrom="paragraph">
              <wp:posOffset>60960</wp:posOffset>
            </wp:positionV>
            <wp:extent cx="4500245" cy="3244215"/>
            <wp:effectExtent l="19050" t="0" r="0" b="0"/>
            <wp:wrapNone/>
            <wp:docPr id="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
                    <pic:cNvPicPr>
                      <a:picLocks noChangeAspect="1" noChangeArrowheads="1"/>
                    </pic:cNvPicPr>
                  </pic:nvPicPr>
                  <pic:blipFill>
                    <a:blip r:embed="rId25" cstate="print"/>
                    <a:srcRect/>
                    <a:stretch>
                      <a:fillRect/>
                    </a:stretch>
                  </pic:blipFill>
                  <pic:spPr>
                    <a:xfrm>
                      <a:off x="0" y="0"/>
                      <a:ext cx="4500245" cy="3244215"/>
                    </a:xfrm>
                    <a:prstGeom prst="rect">
                      <a:avLst/>
                    </a:prstGeom>
                    <a:noFill/>
                    <a:ln w="9525">
                      <a:noFill/>
                      <a:miter lim="800000"/>
                      <a:headEnd/>
                      <a:tailEnd/>
                    </a:ln>
                  </pic:spPr>
                </pic:pic>
              </a:graphicData>
            </a:graphic>
          </wp:anchor>
        </w:drawing>
      </w:r>
    </w:p>
    <w:p w14:paraId="4A4C03CD">
      <w:pPr>
        <w:pStyle w:val="37"/>
        <w:spacing w:line="580" w:lineRule="exact"/>
        <w:ind w:firstLine="560"/>
        <w:rPr>
          <w:sz w:val="28"/>
          <w:szCs w:val="28"/>
        </w:rPr>
      </w:pPr>
    </w:p>
    <w:p w14:paraId="21FBB371">
      <w:pPr>
        <w:pStyle w:val="37"/>
        <w:spacing w:line="580" w:lineRule="exact"/>
        <w:ind w:firstLine="560"/>
        <w:rPr>
          <w:sz w:val="28"/>
          <w:szCs w:val="28"/>
        </w:rPr>
      </w:pPr>
    </w:p>
    <w:p w14:paraId="26E3492A">
      <w:pPr>
        <w:pStyle w:val="37"/>
        <w:spacing w:line="580" w:lineRule="exact"/>
        <w:ind w:firstLine="560"/>
        <w:rPr>
          <w:sz w:val="28"/>
          <w:szCs w:val="28"/>
        </w:rPr>
      </w:pPr>
    </w:p>
    <w:p w14:paraId="7DA01923">
      <w:pPr>
        <w:pStyle w:val="37"/>
        <w:spacing w:line="580" w:lineRule="exact"/>
        <w:ind w:firstLine="560"/>
        <w:rPr>
          <w:sz w:val="28"/>
          <w:szCs w:val="28"/>
        </w:rPr>
      </w:pPr>
    </w:p>
    <w:p w14:paraId="5CB39223">
      <w:pPr>
        <w:pStyle w:val="37"/>
        <w:spacing w:line="580" w:lineRule="exact"/>
        <w:ind w:firstLine="560"/>
        <w:rPr>
          <w:sz w:val="28"/>
          <w:szCs w:val="28"/>
        </w:rPr>
      </w:pPr>
    </w:p>
    <w:p w14:paraId="12C47D57">
      <w:pPr>
        <w:pStyle w:val="37"/>
        <w:spacing w:line="580" w:lineRule="exact"/>
        <w:ind w:firstLine="560"/>
        <w:rPr>
          <w:sz w:val="28"/>
          <w:szCs w:val="28"/>
        </w:rPr>
      </w:pPr>
    </w:p>
    <w:p w14:paraId="4FF166D0">
      <w:pPr>
        <w:spacing w:line="580" w:lineRule="exact"/>
        <w:jc w:val="center"/>
        <w:rPr>
          <w:rFonts w:ascii="宋体" w:hAnsi="宋体"/>
          <w:sz w:val="28"/>
          <w:szCs w:val="28"/>
        </w:rPr>
      </w:pPr>
    </w:p>
    <w:p w14:paraId="007FC039">
      <w:pPr>
        <w:pStyle w:val="48"/>
        <w:spacing w:line="580" w:lineRule="exact"/>
        <w:jc w:val="both"/>
      </w:pPr>
    </w:p>
    <w:p w14:paraId="49497C73">
      <w:pPr>
        <w:pStyle w:val="48"/>
        <w:spacing w:line="580" w:lineRule="exact"/>
        <w:rPr>
          <w:b/>
        </w:rPr>
      </w:pPr>
      <w:r>
        <w:rPr>
          <w:rFonts w:hint="eastAsia"/>
          <w:b/>
        </w:rPr>
        <w:t>图12  建筑长度与高度控制图</w:t>
      </w:r>
    </w:p>
    <w:p w14:paraId="15E9F247">
      <w:pPr>
        <w:pStyle w:val="37"/>
        <w:spacing w:line="580" w:lineRule="exact"/>
        <w:ind w:firstLine="560"/>
        <w:rPr>
          <w:sz w:val="28"/>
          <w:szCs w:val="28"/>
        </w:rPr>
      </w:pPr>
      <w:r>
        <w:rPr>
          <w:rFonts w:hint="eastAsia"/>
          <w:sz w:val="28"/>
          <w:szCs w:val="28"/>
        </w:rPr>
        <w:t>(二)建筑</w:t>
      </w:r>
      <w:r>
        <w:rPr>
          <w:sz w:val="28"/>
          <w:szCs w:val="28"/>
        </w:rPr>
        <w:t>立面节奏控制</w:t>
      </w:r>
    </w:p>
    <w:p w14:paraId="6E5180C3">
      <w:pPr>
        <w:pStyle w:val="37"/>
        <w:spacing w:line="580" w:lineRule="exact"/>
        <w:ind w:firstLine="560"/>
        <w:rPr>
          <w:sz w:val="28"/>
          <w:szCs w:val="28"/>
        </w:rPr>
      </w:pPr>
      <w:r>
        <w:rPr>
          <w:rFonts w:hint="eastAsia"/>
          <w:sz w:val="28"/>
          <w:szCs w:val="28"/>
        </w:rPr>
        <w:t>当沿街的建筑“街墙”长度等于或超过</w:t>
      </w:r>
      <w:r>
        <w:rPr>
          <w:sz w:val="28"/>
          <w:szCs w:val="28"/>
        </w:rPr>
        <w:t>80</w:t>
      </w:r>
      <w:r>
        <w:rPr>
          <w:rFonts w:hint="eastAsia"/>
          <w:sz w:val="28"/>
          <w:szCs w:val="28"/>
        </w:rPr>
        <w:t>米时，建议对立面的形式进行变化，包括：</w:t>
      </w:r>
    </w:p>
    <w:p w14:paraId="75CE1BC3">
      <w:pPr>
        <w:pStyle w:val="37"/>
        <w:spacing w:line="580" w:lineRule="exact"/>
        <w:ind w:firstLine="560"/>
        <w:rPr>
          <w:sz w:val="28"/>
          <w:szCs w:val="28"/>
        </w:rPr>
      </w:pPr>
      <w:r>
        <w:rPr>
          <w:sz w:val="28"/>
          <w:szCs w:val="28"/>
        </w:rPr>
        <w:t>1</w:t>
      </w:r>
      <w:r>
        <w:rPr>
          <w:rFonts w:hint="eastAsia"/>
          <w:sz w:val="28"/>
          <w:szCs w:val="28"/>
        </w:rPr>
        <w:t>、形成多栋建筑组合的形式，建筑之间留出公共通道，宽度不应小于</w:t>
      </w:r>
      <w:r>
        <w:rPr>
          <w:sz w:val="28"/>
          <w:szCs w:val="28"/>
        </w:rPr>
        <w:t>7</w:t>
      </w:r>
      <w:r>
        <w:rPr>
          <w:rFonts w:hint="eastAsia"/>
          <w:sz w:val="28"/>
          <w:szCs w:val="28"/>
        </w:rPr>
        <w:t>米。</w:t>
      </w:r>
    </w:p>
    <w:p w14:paraId="3CABACBC">
      <w:pPr>
        <w:pStyle w:val="37"/>
        <w:spacing w:line="580" w:lineRule="exact"/>
        <w:ind w:firstLine="560"/>
        <w:rPr>
          <w:sz w:val="28"/>
          <w:szCs w:val="28"/>
        </w:rPr>
      </w:pPr>
      <w:r>
        <w:rPr>
          <w:sz w:val="28"/>
          <w:szCs w:val="28"/>
        </w:rPr>
        <w:t>2</w:t>
      </w:r>
      <w:r>
        <w:rPr>
          <w:rFonts w:hint="eastAsia"/>
          <w:sz w:val="28"/>
          <w:szCs w:val="28"/>
        </w:rPr>
        <w:t>、打断或调整立面的节奏。</w:t>
      </w:r>
    </w:p>
    <w:p w14:paraId="03F3BD29">
      <w:pPr>
        <w:pStyle w:val="37"/>
        <w:spacing w:line="580" w:lineRule="exact"/>
        <w:ind w:firstLine="560"/>
        <w:rPr>
          <w:sz w:val="28"/>
          <w:szCs w:val="28"/>
        </w:rPr>
      </w:pPr>
      <w:r>
        <w:rPr>
          <w:sz w:val="28"/>
          <w:szCs w:val="28"/>
        </w:rPr>
        <w:t>3</w:t>
      </w:r>
      <w:r>
        <w:rPr>
          <w:rFonts w:hint="eastAsia"/>
          <w:sz w:val="28"/>
          <w:szCs w:val="28"/>
        </w:rPr>
        <w:t>、使用不同的立面材料。</w:t>
      </w:r>
    </w:p>
    <w:p w14:paraId="4A820FA9">
      <w:pPr>
        <w:pStyle w:val="37"/>
        <w:spacing w:line="536" w:lineRule="exact"/>
        <w:ind w:firstLine="560"/>
        <w:rPr>
          <w:sz w:val="28"/>
          <w:szCs w:val="28"/>
        </w:rPr>
      </w:pPr>
      <w:r>
        <w:rPr>
          <w:rFonts w:hint="eastAsia"/>
          <w:sz w:val="28"/>
          <w:szCs w:val="28"/>
        </w:rPr>
        <w:t>对于尺度小于</w:t>
      </w:r>
      <w:r>
        <w:rPr>
          <w:sz w:val="28"/>
          <w:szCs w:val="28"/>
        </w:rPr>
        <w:t>80</w:t>
      </w:r>
      <w:r>
        <w:rPr>
          <w:rFonts w:hint="eastAsia"/>
          <w:sz w:val="28"/>
          <w:szCs w:val="28"/>
        </w:rPr>
        <w:t>米的地块内建筑立面的处理方式可以参照上述原则，以避免过长的、超尺度的立面，鼓励塑造富有变化、趣味和人性化的城市空间界面和环境。</w:t>
      </w:r>
    </w:p>
    <w:p w14:paraId="2F73D40A">
      <w:pPr>
        <w:pStyle w:val="37"/>
        <w:spacing w:line="536" w:lineRule="exact"/>
        <w:ind w:firstLine="560"/>
        <w:rPr>
          <w:sz w:val="28"/>
          <w:szCs w:val="28"/>
        </w:rPr>
      </w:pPr>
      <w:r>
        <w:rPr>
          <w:rFonts w:hint="eastAsia"/>
          <w:sz w:val="28"/>
          <w:szCs w:val="28"/>
        </w:rPr>
        <w:t>(三)建筑</w:t>
      </w:r>
      <w:r>
        <w:rPr>
          <w:sz w:val="28"/>
          <w:szCs w:val="28"/>
        </w:rPr>
        <w:t>虚实比</w:t>
      </w:r>
    </w:p>
    <w:p w14:paraId="1F4931A9">
      <w:pPr>
        <w:pStyle w:val="37"/>
        <w:spacing w:line="536" w:lineRule="exact"/>
        <w:ind w:firstLine="560"/>
        <w:rPr>
          <w:sz w:val="28"/>
          <w:szCs w:val="28"/>
        </w:rPr>
      </w:pPr>
      <w:r>
        <w:rPr>
          <w:rFonts w:hint="eastAsia"/>
          <w:sz w:val="28"/>
          <w:szCs w:val="28"/>
        </w:rPr>
        <w:t>区内</w:t>
      </w:r>
      <w:r>
        <w:rPr>
          <w:sz w:val="28"/>
          <w:szCs w:val="28"/>
        </w:rPr>
        <w:t>建筑应符合节能</w:t>
      </w:r>
      <w:r>
        <w:rPr>
          <w:rFonts w:hint="eastAsia"/>
          <w:sz w:val="28"/>
          <w:szCs w:val="28"/>
        </w:rPr>
        <w:t>建筑</w:t>
      </w:r>
      <w:r>
        <w:rPr>
          <w:sz w:val="28"/>
          <w:szCs w:val="28"/>
        </w:rPr>
        <w:t>和绿色建筑的设计要求，并符合所在区位的功能、景观</w:t>
      </w:r>
      <w:r>
        <w:rPr>
          <w:rFonts w:hint="eastAsia"/>
          <w:sz w:val="28"/>
          <w:szCs w:val="28"/>
        </w:rPr>
        <w:t>要求。根据</w:t>
      </w:r>
      <w:r>
        <w:rPr>
          <w:sz w:val="28"/>
          <w:szCs w:val="28"/>
        </w:rPr>
        <w:t>总体城市设计，</w:t>
      </w:r>
      <w:r>
        <w:rPr>
          <w:rFonts w:hint="eastAsia"/>
          <w:sz w:val="28"/>
          <w:szCs w:val="28"/>
        </w:rPr>
        <w:t>Ⅳ区</w:t>
      </w:r>
      <w:r>
        <w:rPr>
          <w:sz w:val="28"/>
          <w:szCs w:val="28"/>
        </w:rPr>
        <w:t>建筑</w:t>
      </w:r>
      <w:r>
        <w:rPr>
          <w:rFonts w:hint="eastAsia"/>
          <w:sz w:val="28"/>
          <w:szCs w:val="28"/>
        </w:rPr>
        <w:t>立面虚实比（窗墙面积比）划分为四个等级：</w:t>
      </w:r>
    </w:p>
    <w:p w14:paraId="19407639">
      <w:pPr>
        <w:pStyle w:val="37"/>
        <w:spacing w:line="536" w:lineRule="exact"/>
        <w:ind w:firstLine="560"/>
        <w:rPr>
          <w:sz w:val="28"/>
          <w:szCs w:val="28"/>
        </w:rPr>
      </w:pPr>
      <w:r>
        <w:rPr>
          <w:sz w:val="28"/>
          <w:szCs w:val="28"/>
        </w:rPr>
        <w:t>1</w:t>
      </w:r>
      <w:r>
        <w:rPr>
          <w:rFonts w:hint="eastAsia"/>
          <w:sz w:val="28"/>
          <w:szCs w:val="28"/>
        </w:rPr>
        <w:t>、虚实比最小：</w:t>
      </w:r>
      <w:r>
        <w:rPr>
          <w:sz w:val="28"/>
          <w:szCs w:val="28"/>
        </w:rPr>
        <w:t>&lt;0.3.</w:t>
      </w:r>
      <w:r>
        <w:rPr>
          <w:rFonts w:hint="eastAsia"/>
          <w:sz w:val="28"/>
          <w:szCs w:val="28"/>
        </w:rPr>
        <w:t>多用于居住建筑的北向界面。</w:t>
      </w:r>
    </w:p>
    <w:p w14:paraId="6FD7416B">
      <w:pPr>
        <w:pStyle w:val="37"/>
        <w:spacing w:line="536" w:lineRule="exact"/>
        <w:ind w:firstLine="560"/>
        <w:rPr>
          <w:sz w:val="28"/>
          <w:szCs w:val="28"/>
        </w:rPr>
      </w:pPr>
      <w:r>
        <w:rPr>
          <w:sz w:val="28"/>
          <w:szCs w:val="28"/>
        </w:rPr>
        <w:t>2</w:t>
      </w:r>
      <w:r>
        <w:rPr>
          <w:rFonts w:hint="eastAsia"/>
          <w:sz w:val="28"/>
          <w:szCs w:val="28"/>
        </w:rPr>
        <w:t>、虚实比较小：</w:t>
      </w:r>
      <w:r>
        <w:rPr>
          <w:sz w:val="28"/>
          <w:szCs w:val="28"/>
        </w:rPr>
        <w:t>0.3-0.4</w:t>
      </w:r>
      <w:r>
        <w:rPr>
          <w:rFonts w:hint="eastAsia"/>
          <w:sz w:val="28"/>
          <w:szCs w:val="28"/>
        </w:rPr>
        <w:t>，多用于居住建筑的南向界面以及科研建筑的北向界面。</w:t>
      </w:r>
    </w:p>
    <w:p w14:paraId="023F8A63">
      <w:pPr>
        <w:pStyle w:val="37"/>
        <w:spacing w:line="536" w:lineRule="exact"/>
        <w:ind w:firstLine="560"/>
        <w:rPr>
          <w:sz w:val="28"/>
          <w:szCs w:val="28"/>
        </w:rPr>
      </w:pPr>
      <w:r>
        <w:rPr>
          <w:sz w:val="28"/>
          <w:szCs w:val="28"/>
        </w:rPr>
        <w:t>3</w:t>
      </w:r>
      <w:r>
        <w:rPr>
          <w:rFonts w:hint="eastAsia"/>
          <w:sz w:val="28"/>
          <w:szCs w:val="28"/>
        </w:rPr>
        <w:t>、虚实比适中：</w:t>
      </w:r>
      <w:r>
        <w:rPr>
          <w:sz w:val="28"/>
          <w:szCs w:val="28"/>
        </w:rPr>
        <w:t>0.4-0.6</w:t>
      </w:r>
      <w:r>
        <w:rPr>
          <w:rFonts w:hint="eastAsia"/>
          <w:sz w:val="28"/>
          <w:szCs w:val="28"/>
        </w:rPr>
        <w:t>，多用于科研建筑的南向界面和商业服务建筑的北向界面。</w:t>
      </w:r>
    </w:p>
    <w:p w14:paraId="4DB74F49">
      <w:pPr>
        <w:pStyle w:val="37"/>
        <w:spacing w:line="536" w:lineRule="exact"/>
        <w:ind w:firstLine="560"/>
        <w:rPr>
          <w:sz w:val="28"/>
          <w:szCs w:val="28"/>
        </w:rPr>
      </w:pPr>
      <w:r>
        <w:rPr>
          <w:sz w:val="28"/>
          <w:szCs w:val="28"/>
        </w:rPr>
        <w:t>4</w:t>
      </w:r>
      <w:r>
        <w:rPr>
          <w:rFonts w:hint="eastAsia"/>
          <w:sz w:val="28"/>
          <w:szCs w:val="28"/>
        </w:rPr>
        <w:t>、虚实比较高：</w:t>
      </w:r>
      <w:r>
        <w:rPr>
          <w:sz w:val="28"/>
          <w:szCs w:val="28"/>
        </w:rPr>
        <w:t>0.6-0.7</w:t>
      </w:r>
      <w:r>
        <w:rPr>
          <w:rFonts w:hint="eastAsia"/>
          <w:sz w:val="28"/>
          <w:szCs w:val="28"/>
        </w:rPr>
        <w:t>，多用于商业服务建筑的南向界面。</w:t>
      </w:r>
    </w:p>
    <w:p w14:paraId="4A3D883F">
      <w:pPr>
        <w:pStyle w:val="38"/>
        <w:numPr>
          <w:ilvl w:val="0"/>
          <w:numId w:val="8"/>
        </w:numPr>
        <w:spacing w:before="0" w:beforeLines="0" w:after="0" w:afterLines="0" w:line="536" w:lineRule="exact"/>
        <w:rPr>
          <w:rFonts w:ascii="黑体" w:hAnsi="黑体"/>
          <w:b/>
        </w:rPr>
      </w:pPr>
      <w:bookmarkStart w:id="41" w:name="_Toc528317039"/>
      <w:r>
        <w:rPr>
          <w:rFonts w:hint="eastAsia" w:ascii="黑体" w:hAnsi="黑体"/>
          <w:b/>
        </w:rPr>
        <w:t>空间环境引导</w:t>
      </w:r>
      <w:bookmarkEnd w:id="41"/>
    </w:p>
    <w:p w14:paraId="7E672E33">
      <w:pPr>
        <w:pStyle w:val="37"/>
        <w:spacing w:line="536" w:lineRule="exact"/>
        <w:ind w:firstLine="560"/>
        <w:rPr>
          <w:sz w:val="28"/>
          <w:szCs w:val="28"/>
        </w:rPr>
      </w:pPr>
      <w:r>
        <w:rPr>
          <w:rFonts w:hint="eastAsia"/>
          <w:sz w:val="28"/>
          <w:szCs w:val="28"/>
        </w:rPr>
        <w:t>环境艺术设施是建筑空间的重要补充和公共空间必不可少的组成部分，也是塑造区域可识别性和特性的重要载体。精心设计的环境艺术对塑造功能区整体环境氛围，突出文化特性具有不可替代的作用。城市遗产是城市发的重要资源，是稀缺和不可再生的。继承和保护好城市 遗产，是城市现代化建设的重要内容，也是城市现代文明进步的重要标志。</w:t>
      </w:r>
    </w:p>
    <w:p w14:paraId="47A2E589">
      <w:pPr>
        <w:pStyle w:val="37"/>
        <w:spacing w:line="536" w:lineRule="exact"/>
        <w:ind w:firstLine="560"/>
        <w:rPr>
          <w:sz w:val="28"/>
          <w:szCs w:val="28"/>
        </w:rPr>
      </w:pPr>
      <w:r>
        <w:rPr>
          <w:rFonts w:hint="eastAsia"/>
          <w:sz w:val="28"/>
          <w:szCs w:val="28"/>
        </w:rPr>
        <w:t>陵川县城区空间环境的设计与建造应符合“绿色、低碳、生态”的总体理念，并体现“人与自然”</w:t>
      </w:r>
      <w:r>
        <w:rPr>
          <w:sz w:val="28"/>
          <w:szCs w:val="28"/>
        </w:rPr>
        <w:t>主题</w:t>
      </w:r>
      <w:r>
        <w:rPr>
          <w:rFonts w:hint="eastAsia"/>
          <w:sz w:val="28"/>
          <w:szCs w:val="28"/>
        </w:rPr>
        <w:t>。其中，环境艺术设施按照中心区、景观风貌区、组团三级进行分类设置，设施分类与设置原则见“环境艺术设施控制表”。规划控制的环境艺术设施在居住组团及地块修建性详细规划均应统一设计。</w:t>
      </w:r>
    </w:p>
    <w:p w14:paraId="1F8E2980">
      <w:pPr>
        <w:pStyle w:val="37"/>
        <w:spacing w:line="580" w:lineRule="exact"/>
        <w:ind w:firstLine="0" w:firstLineChars="0"/>
        <w:jc w:val="center"/>
        <w:rPr>
          <w:b/>
          <w:sz w:val="28"/>
          <w:szCs w:val="28"/>
        </w:rPr>
      </w:pPr>
      <w:r>
        <w:rPr>
          <w:rFonts w:hint="eastAsia"/>
          <w:b/>
          <w:sz w:val="28"/>
          <w:szCs w:val="28"/>
        </w:rPr>
        <w:t>表10</w:t>
      </w:r>
      <w:r>
        <w:rPr>
          <w:b/>
          <w:sz w:val="28"/>
          <w:szCs w:val="28"/>
        </w:rPr>
        <w:t xml:space="preserve">  </w:t>
      </w:r>
      <w:r>
        <w:rPr>
          <w:rFonts w:hint="eastAsia"/>
          <w:b/>
          <w:sz w:val="28"/>
          <w:szCs w:val="28"/>
        </w:rPr>
        <w:t>空间环境</w:t>
      </w:r>
      <w:r>
        <w:rPr>
          <w:b/>
          <w:sz w:val="28"/>
          <w:szCs w:val="28"/>
        </w:rPr>
        <w:t>控制一览表</w:t>
      </w:r>
    </w:p>
    <w:tbl>
      <w:tblPr>
        <w:tblStyle w:val="21"/>
        <w:tblW w:w="9461" w:type="dxa"/>
        <w:jc w:val="center"/>
        <w:tblLayout w:type="fixed"/>
        <w:tblCellMar>
          <w:top w:w="0" w:type="dxa"/>
          <w:left w:w="0" w:type="dxa"/>
          <w:bottom w:w="0" w:type="dxa"/>
          <w:right w:w="0" w:type="dxa"/>
        </w:tblCellMar>
      </w:tblPr>
      <w:tblGrid>
        <w:gridCol w:w="913"/>
        <w:gridCol w:w="4480"/>
        <w:gridCol w:w="4068"/>
      </w:tblGrid>
      <w:tr w14:paraId="1A41B778">
        <w:tblPrEx>
          <w:tblCellMar>
            <w:top w:w="0" w:type="dxa"/>
            <w:left w:w="0" w:type="dxa"/>
            <w:bottom w:w="0" w:type="dxa"/>
            <w:right w:w="0" w:type="dxa"/>
          </w:tblCellMar>
        </w:tblPrEx>
        <w:trPr>
          <w:trHeight w:val="369" w:hRule="atLeast"/>
          <w:jc w:val="center"/>
        </w:trPr>
        <w:tc>
          <w:tcPr>
            <w:tcW w:w="913"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463584C0">
            <w:pPr>
              <w:pStyle w:val="48"/>
            </w:pPr>
            <w:r>
              <w:rPr>
                <w:rFonts w:hint="eastAsia"/>
              </w:rPr>
              <w:t>控制</w:t>
            </w:r>
          </w:p>
          <w:p w14:paraId="5134032C">
            <w:pPr>
              <w:pStyle w:val="48"/>
            </w:pPr>
            <w:r>
              <w:rPr>
                <w:rFonts w:hint="eastAsia"/>
              </w:rPr>
              <w:t>分级</w:t>
            </w:r>
          </w:p>
        </w:tc>
        <w:tc>
          <w:tcPr>
            <w:tcW w:w="4480"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1DAFF7AE">
            <w:pPr>
              <w:pStyle w:val="48"/>
            </w:pPr>
            <w:r>
              <w:rPr>
                <w:rFonts w:hint="eastAsia"/>
              </w:rPr>
              <w:t>控制要素</w:t>
            </w:r>
          </w:p>
        </w:tc>
        <w:tc>
          <w:tcPr>
            <w:tcW w:w="4068"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447A84D3">
            <w:pPr>
              <w:pStyle w:val="48"/>
            </w:pPr>
            <w:r>
              <w:rPr>
                <w:rFonts w:hint="eastAsia"/>
              </w:rPr>
              <w:t>控制要求</w:t>
            </w:r>
          </w:p>
        </w:tc>
      </w:tr>
      <w:tr w14:paraId="3F5611C0">
        <w:tblPrEx>
          <w:tblCellMar>
            <w:top w:w="0" w:type="dxa"/>
            <w:left w:w="0" w:type="dxa"/>
            <w:bottom w:w="0" w:type="dxa"/>
            <w:right w:w="0" w:type="dxa"/>
          </w:tblCellMar>
        </w:tblPrEx>
        <w:trPr>
          <w:trHeight w:val="369" w:hRule="atLeast"/>
          <w:jc w:val="center"/>
        </w:trPr>
        <w:tc>
          <w:tcPr>
            <w:tcW w:w="913"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693F629F">
            <w:pPr>
              <w:pStyle w:val="48"/>
            </w:pPr>
            <w:r>
              <w:rPr>
                <w:rFonts w:hint="eastAsia"/>
              </w:rPr>
              <w:t>核心区</w:t>
            </w:r>
          </w:p>
        </w:tc>
        <w:tc>
          <w:tcPr>
            <w:tcW w:w="4480"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415DE413">
            <w:pPr>
              <w:pStyle w:val="48"/>
            </w:pPr>
            <w:r>
              <w:rPr>
                <w:rFonts w:hint="eastAsia"/>
              </w:rPr>
              <w:t>主干路及次干路沿街的路灯、交通信号灯</w:t>
            </w:r>
          </w:p>
        </w:tc>
        <w:tc>
          <w:tcPr>
            <w:tcW w:w="4068"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424FE082">
            <w:pPr>
              <w:pStyle w:val="48"/>
            </w:pPr>
            <w:r>
              <w:rPr>
                <w:rFonts w:hint="eastAsia"/>
              </w:rPr>
              <w:t>以街道为单元整体设计，风格统一。</w:t>
            </w:r>
          </w:p>
        </w:tc>
      </w:tr>
      <w:tr w14:paraId="4059A57E">
        <w:tblPrEx>
          <w:tblCellMar>
            <w:top w:w="0" w:type="dxa"/>
            <w:left w:w="0" w:type="dxa"/>
            <w:bottom w:w="0" w:type="dxa"/>
            <w:right w:w="0" w:type="dxa"/>
          </w:tblCellMar>
        </w:tblPrEx>
        <w:trPr>
          <w:trHeight w:val="369" w:hRule="atLeast"/>
          <w:jc w:val="center"/>
        </w:trPr>
        <w:tc>
          <w:tcPr>
            <w:tcW w:w="913" w:type="dxa"/>
            <w:vMerge w:val="restart"/>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18C44A4F">
            <w:pPr>
              <w:pStyle w:val="48"/>
            </w:pPr>
            <w:r>
              <w:rPr>
                <w:rFonts w:hint="eastAsia"/>
              </w:rPr>
              <w:t>景观</w:t>
            </w:r>
          </w:p>
          <w:p w14:paraId="1CF4D62A">
            <w:pPr>
              <w:pStyle w:val="48"/>
            </w:pPr>
            <w:r>
              <w:rPr>
                <w:rFonts w:hint="eastAsia"/>
              </w:rPr>
              <w:t>风貌区</w:t>
            </w:r>
          </w:p>
        </w:tc>
        <w:tc>
          <w:tcPr>
            <w:tcW w:w="4480"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5178074A">
            <w:pPr>
              <w:pStyle w:val="48"/>
            </w:pPr>
            <w:r>
              <w:rPr>
                <w:rFonts w:hint="eastAsia"/>
              </w:rPr>
              <w:t>组团公园节点区域的铺地、雕塑、</w:t>
            </w:r>
          </w:p>
          <w:p w14:paraId="4946B6EC">
            <w:pPr>
              <w:pStyle w:val="48"/>
            </w:pPr>
            <w:r>
              <w:rPr>
                <w:rFonts w:hint="eastAsia"/>
              </w:rPr>
              <w:t>公共座椅、花坛、景观灯、标识牌、广告牌、垃圾桶、饮水台</w:t>
            </w:r>
          </w:p>
        </w:tc>
        <w:tc>
          <w:tcPr>
            <w:tcW w:w="4068"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765C1851">
            <w:pPr>
              <w:pStyle w:val="48"/>
            </w:pPr>
            <w:r>
              <w:rPr>
                <w:rFonts w:hint="eastAsia"/>
              </w:rPr>
              <w:t>风格统一，能够反映本风貌区主题特色。</w:t>
            </w:r>
          </w:p>
        </w:tc>
      </w:tr>
      <w:tr w14:paraId="416BA2A0">
        <w:tblPrEx>
          <w:tblCellMar>
            <w:top w:w="0" w:type="dxa"/>
            <w:left w:w="0" w:type="dxa"/>
            <w:bottom w:w="0" w:type="dxa"/>
            <w:right w:w="0" w:type="dxa"/>
          </w:tblCellMar>
        </w:tblPrEx>
        <w:trPr>
          <w:trHeight w:val="369" w:hRule="atLeast"/>
          <w:jc w:val="center"/>
        </w:trPr>
        <w:tc>
          <w:tcPr>
            <w:tcW w:w="913" w:type="dxa"/>
            <w:vMerge w:val="continue"/>
            <w:tcBorders>
              <w:top w:val="single" w:color="000000" w:sz="8" w:space="0"/>
              <w:left w:val="single" w:color="000000" w:sz="8" w:space="0"/>
              <w:bottom w:val="single" w:color="000000" w:sz="8" w:space="0"/>
              <w:right w:val="single" w:color="000000" w:sz="8" w:space="0"/>
            </w:tcBorders>
            <w:vAlign w:val="center"/>
          </w:tcPr>
          <w:p w14:paraId="100ED08A">
            <w:pPr>
              <w:pStyle w:val="48"/>
            </w:pPr>
          </w:p>
        </w:tc>
        <w:tc>
          <w:tcPr>
            <w:tcW w:w="4480"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6690546A">
            <w:pPr>
              <w:pStyle w:val="48"/>
            </w:pPr>
            <w:r>
              <w:rPr>
                <w:rFonts w:hint="eastAsia"/>
              </w:rPr>
              <w:t>绿道内铺地、自行车道、公共座椅、花坛、路灯、景观灯、标识牌、饮水台</w:t>
            </w:r>
          </w:p>
        </w:tc>
        <w:tc>
          <w:tcPr>
            <w:tcW w:w="4068"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37BFBC65">
            <w:pPr>
              <w:pStyle w:val="48"/>
            </w:pPr>
            <w:r>
              <w:rPr>
                <w:rFonts w:hint="eastAsia"/>
              </w:rPr>
              <w:t>风格统一，能够反映本风貌区主题特色。</w:t>
            </w:r>
          </w:p>
        </w:tc>
      </w:tr>
      <w:tr w14:paraId="62544B71">
        <w:tblPrEx>
          <w:tblCellMar>
            <w:top w:w="0" w:type="dxa"/>
            <w:left w:w="0" w:type="dxa"/>
            <w:bottom w:w="0" w:type="dxa"/>
            <w:right w:w="0" w:type="dxa"/>
          </w:tblCellMar>
        </w:tblPrEx>
        <w:trPr>
          <w:trHeight w:val="369" w:hRule="atLeast"/>
          <w:jc w:val="center"/>
        </w:trPr>
        <w:tc>
          <w:tcPr>
            <w:tcW w:w="913" w:type="dxa"/>
            <w:vMerge w:val="continue"/>
            <w:tcBorders>
              <w:top w:val="single" w:color="000000" w:sz="8" w:space="0"/>
              <w:left w:val="single" w:color="000000" w:sz="8" w:space="0"/>
              <w:bottom w:val="single" w:color="000000" w:sz="8" w:space="0"/>
              <w:right w:val="single" w:color="000000" w:sz="8" w:space="0"/>
            </w:tcBorders>
            <w:vAlign w:val="center"/>
          </w:tcPr>
          <w:p w14:paraId="3AD62A6C">
            <w:pPr>
              <w:pStyle w:val="48"/>
            </w:pPr>
          </w:p>
        </w:tc>
        <w:tc>
          <w:tcPr>
            <w:tcW w:w="4480"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3DB2ABF6">
            <w:pPr>
              <w:pStyle w:val="48"/>
            </w:pPr>
            <w:r>
              <w:rPr>
                <w:rFonts w:hint="eastAsia"/>
              </w:rPr>
              <w:t>支路及慢街沿街的路灯、交通信号灯、垃圾桶</w:t>
            </w:r>
          </w:p>
        </w:tc>
        <w:tc>
          <w:tcPr>
            <w:tcW w:w="4068"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72AC70A0">
            <w:pPr>
              <w:pStyle w:val="48"/>
            </w:pPr>
            <w:r>
              <w:rPr>
                <w:rFonts w:hint="eastAsia"/>
              </w:rPr>
              <w:t>风格统一，能够反映本风貌区主题特色。</w:t>
            </w:r>
          </w:p>
        </w:tc>
      </w:tr>
      <w:tr w14:paraId="183ADE6F">
        <w:tblPrEx>
          <w:tblCellMar>
            <w:top w:w="0" w:type="dxa"/>
            <w:left w:w="0" w:type="dxa"/>
            <w:bottom w:w="0" w:type="dxa"/>
            <w:right w:w="0" w:type="dxa"/>
          </w:tblCellMar>
        </w:tblPrEx>
        <w:trPr>
          <w:trHeight w:val="369" w:hRule="atLeast"/>
          <w:jc w:val="center"/>
        </w:trPr>
        <w:tc>
          <w:tcPr>
            <w:tcW w:w="913" w:type="dxa"/>
            <w:vMerge w:val="continue"/>
            <w:tcBorders>
              <w:top w:val="single" w:color="000000" w:sz="8" w:space="0"/>
              <w:left w:val="single" w:color="000000" w:sz="8" w:space="0"/>
              <w:bottom w:val="single" w:color="000000" w:sz="8" w:space="0"/>
              <w:right w:val="single" w:color="000000" w:sz="8" w:space="0"/>
            </w:tcBorders>
            <w:vAlign w:val="center"/>
          </w:tcPr>
          <w:p w14:paraId="0FE05E45">
            <w:pPr>
              <w:pStyle w:val="48"/>
            </w:pPr>
          </w:p>
        </w:tc>
        <w:tc>
          <w:tcPr>
            <w:tcW w:w="4480"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1CA81D12">
            <w:pPr>
              <w:pStyle w:val="48"/>
            </w:pPr>
            <w:r>
              <w:rPr>
                <w:rFonts w:hint="eastAsia"/>
              </w:rPr>
              <w:t>公交车站、信息亭、风貌区LOGO、风貌区入口标识牌、公共厕所</w:t>
            </w:r>
          </w:p>
        </w:tc>
        <w:tc>
          <w:tcPr>
            <w:tcW w:w="4068"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3FF44194">
            <w:pPr>
              <w:pStyle w:val="48"/>
            </w:pPr>
            <w:r>
              <w:rPr>
                <w:rFonts w:hint="eastAsia"/>
              </w:rPr>
              <w:t>风格统一，能够反映本风貌区主题特色。</w:t>
            </w:r>
          </w:p>
        </w:tc>
      </w:tr>
      <w:tr w14:paraId="1B4B8BAC">
        <w:tblPrEx>
          <w:tblCellMar>
            <w:top w:w="0" w:type="dxa"/>
            <w:left w:w="0" w:type="dxa"/>
            <w:bottom w:w="0" w:type="dxa"/>
            <w:right w:w="0" w:type="dxa"/>
          </w:tblCellMar>
        </w:tblPrEx>
        <w:trPr>
          <w:trHeight w:val="369" w:hRule="atLeast"/>
          <w:jc w:val="center"/>
        </w:trPr>
        <w:tc>
          <w:tcPr>
            <w:tcW w:w="913"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3B232FD1">
            <w:pPr>
              <w:pStyle w:val="48"/>
            </w:pPr>
            <w:r>
              <w:rPr>
                <w:rFonts w:hint="eastAsia"/>
              </w:rPr>
              <w:t>居住</w:t>
            </w:r>
          </w:p>
          <w:p w14:paraId="0A504E8E">
            <w:pPr>
              <w:pStyle w:val="48"/>
            </w:pPr>
            <w:r>
              <w:rPr>
                <w:rFonts w:hint="eastAsia"/>
              </w:rPr>
              <w:t>组团</w:t>
            </w:r>
          </w:p>
        </w:tc>
        <w:tc>
          <w:tcPr>
            <w:tcW w:w="4480"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7BACFE54">
            <w:pPr>
              <w:pStyle w:val="48"/>
            </w:pPr>
            <w:r>
              <w:rPr>
                <w:rFonts w:hint="eastAsia"/>
              </w:rPr>
              <w:t>入口标识牌、建筑标识牌、中心公园、铺地、雕塑、公共座椅、花坛、景观灯。</w:t>
            </w:r>
          </w:p>
        </w:tc>
        <w:tc>
          <w:tcPr>
            <w:tcW w:w="4068" w:type="dxa"/>
            <w:tcBorders>
              <w:top w:val="single" w:color="000000" w:sz="8" w:space="0"/>
              <w:left w:val="single" w:color="000000" w:sz="8" w:space="0"/>
              <w:bottom w:val="single" w:color="000000" w:sz="8" w:space="0"/>
              <w:right w:val="single" w:color="000000" w:sz="8" w:space="0"/>
            </w:tcBorders>
            <w:tcMar>
              <w:top w:w="15" w:type="dxa"/>
              <w:left w:w="115" w:type="dxa"/>
              <w:bottom w:w="0" w:type="dxa"/>
              <w:right w:w="115" w:type="dxa"/>
            </w:tcMar>
            <w:vAlign w:val="center"/>
          </w:tcPr>
          <w:p w14:paraId="1BE81990">
            <w:pPr>
              <w:pStyle w:val="48"/>
            </w:pPr>
            <w:r>
              <w:rPr>
                <w:rFonts w:hint="eastAsia"/>
              </w:rPr>
              <w:t>与邻里单元建筑和景观统一设计、统一配置，各类控制要素风格统一、富有特色。</w:t>
            </w:r>
          </w:p>
        </w:tc>
      </w:tr>
    </w:tbl>
    <w:p w14:paraId="7D0BF87F">
      <w:pPr>
        <w:pStyle w:val="38"/>
        <w:numPr>
          <w:ilvl w:val="0"/>
          <w:numId w:val="8"/>
        </w:numPr>
        <w:spacing w:before="0" w:beforeLines="0" w:after="0" w:afterLines="0" w:line="546" w:lineRule="exact"/>
        <w:rPr>
          <w:rFonts w:ascii="黑体" w:hAnsi="黑体"/>
          <w:b/>
        </w:rPr>
      </w:pPr>
      <w:bookmarkStart w:id="42" w:name="_Toc528317040"/>
      <w:r>
        <w:rPr>
          <w:rFonts w:hint="eastAsia" w:ascii="黑体" w:hAnsi="黑体"/>
          <w:b/>
        </w:rPr>
        <w:t>历史文化传承</w:t>
      </w:r>
      <w:bookmarkEnd w:id="42"/>
    </w:p>
    <w:p w14:paraId="05DBED1E">
      <w:pPr>
        <w:pStyle w:val="37"/>
        <w:spacing w:line="546" w:lineRule="exact"/>
        <w:ind w:firstLine="560"/>
        <w:rPr>
          <w:sz w:val="28"/>
          <w:szCs w:val="28"/>
        </w:rPr>
      </w:pPr>
      <w:r>
        <w:rPr>
          <w:rFonts w:hint="eastAsia"/>
          <w:sz w:val="28"/>
          <w:szCs w:val="28"/>
        </w:rPr>
        <w:t>城市的发展经历着产生、发展、衰退、再发展……的螺旋式上升过程。随着时间的推移</w:t>
      </w:r>
      <w:r>
        <w:rPr>
          <w:sz w:val="28"/>
          <w:szCs w:val="28"/>
        </w:rPr>
        <w:t>,</w:t>
      </w:r>
      <w:r>
        <w:rPr>
          <w:rFonts w:hint="eastAsia"/>
          <w:sz w:val="28"/>
          <w:szCs w:val="28"/>
        </w:rPr>
        <w:t>城市旧区不断老化</w:t>
      </w:r>
      <w:r>
        <w:rPr>
          <w:sz w:val="28"/>
          <w:szCs w:val="28"/>
        </w:rPr>
        <w:t>,</w:t>
      </w:r>
      <w:r>
        <w:rPr>
          <w:rFonts w:hint="eastAsia"/>
          <w:sz w:val="28"/>
          <w:szCs w:val="28"/>
        </w:rPr>
        <w:t>新区逐步拓展。两者之间相互更替</w:t>
      </w:r>
      <w:r>
        <w:rPr>
          <w:sz w:val="28"/>
          <w:szCs w:val="28"/>
        </w:rPr>
        <w:t>,</w:t>
      </w:r>
      <w:r>
        <w:rPr>
          <w:rFonts w:hint="eastAsia"/>
          <w:sz w:val="28"/>
          <w:szCs w:val="28"/>
        </w:rPr>
        <w:t>相辅相成的关系贯穿于城市发展的各个阶段。从1980年代城市急于搞经济建设时期将保护与发展的对立，到2000年之后出现的历史街区保护繁荣，历史文化在城市空间中的传承方式发生了巨大的变化。城市的现代化建设与历史文化传统的继承与保护之间，是有机关联、相得益彰的。</w:t>
      </w:r>
    </w:p>
    <w:p w14:paraId="49BDC1C2">
      <w:pPr>
        <w:pStyle w:val="5"/>
        <w:spacing w:line="546" w:lineRule="exact"/>
        <w:ind w:firstLine="560"/>
        <w:rPr>
          <w:sz w:val="28"/>
          <w:szCs w:val="28"/>
        </w:rPr>
      </w:pPr>
      <w:r>
        <w:rPr>
          <w:rFonts w:hint="eastAsia"/>
          <w:sz w:val="28"/>
          <w:szCs w:val="28"/>
        </w:rPr>
        <w:t>陵川不仅拥有悠久的历史文化，拥有独特的自然本底与建筑空间肌理，同时，崇安寺作为国保单位，历史保护成为陵川县城市发展必须注重的方面。其次，陵川县城区作为全域旅游的旅游服务接待地，对历史街区的保护和再开发，也是新时期城市发展过程中必须完成的任务。基于以上两点，本次规划对历史街区采用渐进式更新的方式，将县城内的崇安寺、魁星楼、春秋阁等文物古迹用地与绿地统一规划，既保护了文物古迹，又提高了城市环境。对散落在县城内的民居院落、街巷等历史文化资源，结合旧村改造进行合理保护与开发。同时，在市场与政府引导的双重作用下，将适合陵川文化传承的部分产业植入，如非遗文化博物馆、老字号商铺、手工体验工坊、特色小吃集市、文化演艺小剧场、文创生活馆等，不仅为陵川的历史文化传承提供了有效的载体，同时实现了老旧城区在新时期的活力再现。规划历史街区位于城区中东部，面积约35.17公顷。其中，节点包括崇安寺、魁星楼、春秋阁、烈士陵园、状元楼等，规划结合历史建筑与绿化景观，对节点周边空间环境进行整合，打开点与点之间的视线通廊，形成魁星楼——春秋阁——状元楼、烈士陵园——状元楼——崇安寺两条文化廊道，作为陵川历史保护的核心地段，同时也是陵川文化传承的重要载体。规划建议在2018-2020年近期建设期间，以陵川创建园林城市为契机，将节点周边空间环境的整治和绿地公园的建设作为整个片整治更新的前期建设项目，由环境的改善和提升带动特色产业植入，从而带动周边业态的繁荣、保护意识的提升，进一步推动整个片区的全面更新。</w:t>
      </w:r>
    </w:p>
    <w:p w14:paraId="143EC18A">
      <w:pPr>
        <w:pStyle w:val="5"/>
        <w:spacing w:line="580" w:lineRule="exact"/>
        <w:ind w:firstLine="560"/>
      </w:pPr>
      <w:r>
        <w:rPr>
          <w:sz w:val="28"/>
          <w:szCs w:val="28"/>
        </w:rPr>
        <w:drawing>
          <wp:anchor distT="0" distB="0" distL="114300" distR="114300" simplePos="0" relativeHeight="251680768" behindDoc="0" locked="0" layoutInCell="1" allowOverlap="1">
            <wp:simplePos x="0" y="0"/>
            <wp:positionH relativeFrom="margin">
              <wp:posOffset>9050020</wp:posOffset>
            </wp:positionH>
            <wp:positionV relativeFrom="paragraph">
              <wp:posOffset>57785</wp:posOffset>
            </wp:positionV>
            <wp:extent cx="3551555" cy="3538855"/>
            <wp:effectExtent l="0" t="0" r="0" b="5080"/>
            <wp:wrapNone/>
            <wp:docPr id="1" name="图片 0" descr="历史街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历史街区.jpg"/>
                    <pic:cNvPicPr>
                      <a:picLocks noChangeAspect="1"/>
                    </pic:cNvPicPr>
                  </pic:nvPicPr>
                  <pic:blipFill>
                    <a:blip r:embed="rId26" cstate="print"/>
                    <a:stretch>
                      <a:fillRect/>
                    </a:stretch>
                  </pic:blipFill>
                  <pic:spPr>
                    <a:xfrm>
                      <a:off x="0" y="0"/>
                      <a:ext cx="3551716" cy="3538847"/>
                    </a:xfrm>
                    <a:prstGeom prst="rect">
                      <a:avLst/>
                    </a:prstGeom>
                  </pic:spPr>
                </pic:pic>
              </a:graphicData>
            </a:graphic>
          </wp:anchor>
        </w:drawing>
      </w:r>
    </w:p>
    <w:p w14:paraId="7B1FC4D3">
      <w:pPr>
        <w:pStyle w:val="5"/>
        <w:spacing w:line="580" w:lineRule="exact"/>
      </w:pPr>
    </w:p>
    <w:p w14:paraId="7BCA76BA">
      <w:pPr>
        <w:pStyle w:val="5"/>
        <w:spacing w:line="580" w:lineRule="exact"/>
      </w:pPr>
    </w:p>
    <w:p w14:paraId="7CF9F6C1">
      <w:pPr>
        <w:pStyle w:val="5"/>
        <w:spacing w:line="580" w:lineRule="exact"/>
        <w:ind w:firstLine="560"/>
      </w:pPr>
      <w:r>
        <w:rPr>
          <w:sz w:val="28"/>
          <w:szCs w:val="28"/>
        </w:rPr>
        <w:drawing>
          <wp:anchor distT="0" distB="0" distL="114300" distR="114300" simplePos="0" relativeHeight="251681792" behindDoc="0" locked="0" layoutInCell="1" allowOverlap="1">
            <wp:simplePos x="0" y="0"/>
            <wp:positionH relativeFrom="column">
              <wp:posOffset>0</wp:posOffset>
            </wp:positionH>
            <wp:positionV relativeFrom="paragraph">
              <wp:posOffset>80010</wp:posOffset>
            </wp:positionV>
            <wp:extent cx="1320800" cy="1954530"/>
            <wp:effectExtent l="0" t="0" r="0" b="7620"/>
            <wp:wrapNone/>
            <wp:docPr id="3" name="图片 2" descr="土地利用规划图--历史街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土地利用规划图--历史街区.jpg"/>
                    <pic:cNvPicPr>
                      <a:picLocks noChangeAspect="1"/>
                    </pic:cNvPicPr>
                  </pic:nvPicPr>
                  <pic:blipFill>
                    <a:blip r:embed="rId27" cstate="print"/>
                    <a:srcRect/>
                    <a:stretch>
                      <a:fillRect/>
                    </a:stretch>
                  </pic:blipFill>
                  <pic:spPr>
                    <a:xfrm>
                      <a:off x="0" y="0"/>
                      <a:ext cx="1320800" cy="1954530"/>
                    </a:xfrm>
                    <a:prstGeom prst="rect">
                      <a:avLst/>
                    </a:prstGeom>
                  </pic:spPr>
                </pic:pic>
              </a:graphicData>
            </a:graphic>
          </wp:anchor>
        </w:drawing>
      </w:r>
    </w:p>
    <w:p w14:paraId="5FC31D17">
      <w:pPr>
        <w:pStyle w:val="5"/>
        <w:spacing w:line="580" w:lineRule="exact"/>
        <w:ind w:firstLine="560"/>
      </w:pPr>
      <w:r>
        <w:rPr>
          <w:sz w:val="28"/>
          <w:szCs w:val="28"/>
        </w:rPr>
        <mc:AlternateContent>
          <mc:Choice Requires="wps">
            <w:drawing>
              <wp:anchor distT="0" distB="0" distL="114300" distR="114300" simplePos="0" relativeHeight="251684864" behindDoc="0" locked="0" layoutInCell="1" allowOverlap="1">
                <wp:simplePos x="0" y="0"/>
                <wp:positionH relativeFrom="column">
                  <wp:posOffset>1424305</wp:posOffset>
                </wp:positionH>
                <wp:positionV relativeFrom="paragraph">
                  <wp:posOffset>260985</wp:posOffset>
                </wp:positionV>
                <wp:extent cx="551815" cy="410210"/>
                <wp:effectExtent l="0" t="38100" r="38735" b="66040"/>
                <wp:wrapNone/>
                <wp:docPr id="6" name="AutoShape 252"/>
                <wp:cNvGraphicFramePr/>
                <a:graphic xmlns:a="http://schemas.openxmlformats.org/drawingml/2006/main">
                  <a:graphicData uri="http://schemas.microsoft.com/office/word/2010/wordprocessingShape">
                    <wps:wsp>
                      <wps:cNvSpPr>
                        <a:spLocks noChangeArrowheads="1"/>
                      </wps:cNvSpPr>
                      <wps:spPr bwMode="auto">
                        <a:xfrm>
                          <a:off x="0" y="0"/>
                          <a:ext cx="551815" cy="410210"/>
                        </a:xfrm>
                        <a:prstGeom prst="rightArrow">
                          <a:avLst>
                            <a:gd name="adj1" fmla="val 50000"/>
                            <a:gd name="adj2" fmla="val 33630"/>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AutoShape 252" o:spid="_x0000_s1026" o:spt="13" type="#_x0000_t13" style="position:absolute;left:0pt;margin-left:112.15pt;margin-top:20.55pt;height:32.3pt;width:43.45pt;z-index:251684864;mso-width-relative:page;mso-height-relative:page;" fillcolor="#FFFFFF" filled="t" stroked="t" coordsize="21600,21600" o:gfxdata="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PIuxx7bAAAACgEAAA8AAAAA&#10;AAAAAQAgAAAAIgAAAGRycy9kb3ducmV2LnhtbFBLAQIUABQAAAAIAIdO4kBXt4DTSgIAAMoEAAAO&#10;AAAAAAAAAAEAIAAAACoBAABkcnMvZTJvRG9jLnhtbFBLBQYAAAAABgAGAFkBAADmBQAAAAA=&#10;" adj="16201,5400">
                <v:fill on="t" focussize="0,0"/>
                <v:stroke color="#000000" miterlimit="8" joinstyle="miter"/>
                <v:imagedata o:title=""/>
                <o:lock v:ext="edit" aspectratio="f"/>
              </v:shape>
            </w:pict>
          </mc:Fallback>
        </mc:AlternateContent>
      </w:r>
    </w:p>
    <w:p w14:paraId="1C2E3974">
      <w:pPr>
        <w:pStyle w:val="5"/>
        <w:spacing w:line="580" w:lineRule="exact"/>
      </w:pPr>
    </w:p>
    <w:p w14:paraId="46FCFBAA">
      <w:pPr>
        <w:pStyle w:val="5"/>
        <w:spacing w:line="580" w:lineRule="exact"/>
        <w:sectPr>
          <w:pgSz w:w="23814" w:h="16840" w:orient="landscape"/>
          <w:pgMar w:top="1985" w:right="1701" w:bottom="1701" w:left="2268" w:header="1134" w:footer="1134" w:gutter="0"/>
          <w:cols w:space="2109" w:num="2"/>
          <w:docGrid w:type="lines" w:linePitch="312" w:charSpace="-3603"/>
        </w:sectPr>
      </w:pPr>
    </w:p>
    <w:p w14:paraId="7BB4E5D9">
      <w:pPr>
        <w:pStyle w:val="2"/>
        <w:spacing w:before="0" w:after="0" w:line="580" w:lineRule="exact"/>
        <w:jc w:val="center"/>
        <w:rPr>
          <w:rFonts w:ascii="黑体" w:hAnsi="黑体" w:eastAsia="黑体"/>
          <w:sz w:val="36"/>
          <w:szCs w:val="36"/>
        </w:rPr>
      </w:pPr>
      <w:bookmarkStart w:id="43" w:name="_Toc17433"/>
      <w:bookmarkStart w:id="44" w:name="_Toc528317041"/>
      <w:bookmarkStart w:id="45" w:name="_Toc441214853"/>
      <w:r>
        <w:rPr>
          <w:rFonts w:hint="eastAsia" w:ascii="黑体" w:hAnsi="黑体" w:eastAsia="黑体"/>
          <w:sz w:val="36"/>
          <w:szCs w:val="36"/>
        </w:rPr>
        <w:t>第八章  地下空间与竖向规划</w:t>
      </w:r>
      <w:bookmarkEnd w:id="43"/>
      <w:bookmarkEnd w:id="44"/>
      <w:bookmarkEnd w:id="45"/>
    </w:p>
    <w:p w14:paraId="6D866932">
      <w:pPr>
        <w:pStyle w:val="47"/>
        <w:spacing w:line="580" w:lineRule="exact"/>
      </w:pPr>
      <w:bookmarkStart w:id="46" w:name="_Toc441214854"/>
      <w:bookmarkStart w:id="47" w:name="_Toc27691"/>
    </w:p>
    <w:p w14:paraId="748A0007">
      <w:pPr>
        <w:pStyle w:val="38"/>
        <w:numPr>
          <w:ilvl w:val="0"/>
          <w:numId w:val="9"/>
        </w:numPr>
        <w:spacing w:before="0" w:beforeLines="0" w:after="0" w:afterLines="0" w:line="580" w:lineRule="exact"/>
        <w:rPr>
          <w:rFonts w:ascii="黑体" w:hAnsi="黑体"/>
          <w:b/>
        </w:rPr>
      </w:pPr>
      <w:bookmarkStart w:id="48" w:name="_Toc528317042"/>
      <w:r>
        <w:rPr>
          <w:rFonts w:hint="eastAsia" w:ascii="黑体" w:hAnsi="黑体"/>
          <w:b/>
        </w:rPr>
        <w:t>地下</w:t>
      </w:r>
      <w:r>
        <w:rPr>
          <w:rFonts w:ascii="黑体" w:hAnsi="黑体"/>
          <w:b/>
        </w:rPr>
        <w:t>空间规划</w:t>
      </w:r>
      <w:bookmarkEnd w:id="46"/>
      <w:bookmarkEnd w:id="47"/>
      <w:bookmarkEnd w:id="48"/>
    </w:p>
    <w:p w14:paraId="7C0ECFB1">
      <w:pPr>
        <w:pStyle w:val="37"/>
        <w:spacing w:line="580" w:lineRule="exact"/>
        <w:ind w:firstLine="560"/>
        <w:rPr>
          <w:sz w:val="28"/>
          <w:szCs w:val="28"/>
        </w:rPr>
      </w:pPr>
      <w:r>
        <w:rPr>
          <w:rFonts w:hint="eastAsia"/>
          <w:sz w:val="28"/>
          <w:szCs w:val="28"/>
        </w:rPr>
        <w:t>地下空间利用方式主要包括地下市政管线、综合管廊、地下汽车库、地下通道、人防以及各类建筑附属功能。</w:t>
      </w:r>
    </w:p>
    <w:p w14:paraId="1769D508">
      <w:pPr>
        <w:pStyle w:val="47"/>
        <w:spacing w:line="580" w:lineRule="exact"/>
      </w:pPr>
      <w:r>
        <w:rPr>
          <w:rFonts w:hint="eastAsia"/>
        </w:rPr>
        <w:t>(一)地下</w:t>
      </w:r>
      <w:r>
        <w:t>空间</w:t>
      </w:r>
      <w:r>
        <w:rPr>
          <w:rFonts w:hint="eastAsia"/>
        </w:rPr>
        <w:t>开发强度</w:t>
      </w:r>
    </w:p>
    <w:p w14:paraId="7E745EEF">
      <w:pPr>
        <w:pStyle w:val="37"/>
        <w:spacing w:line="580" w:lineRule="exact"/>
        <w:ind w:firstLine="560"/>
        <w:rPr>
          <w:sz w:val="28"/>
          <w:szCs w:val="28"/>
        </w:rPr>
      </w:pPr>
      <w:r>
        <w:rPr>
          <w:rFonts w:hint="eastAsia"/>
          <w:sz w:val="28"/>
          <w:szCs w:val="28"/>
          <w:lang w:val="zh-CN"/>
        </w:rPr>
        <w:t>城区</w:t>
      </w:r>
      <w:r>
        <w:rPr>
          <w:sz w:val="28"/>
          <w:szCs w:val="28"/>
        </w:rPr>
        <w:t>地下</w:t>
      </w:r>
      <w:r>
        <w:rPr>
          <w:rFonts w:hint="eastAsia"/>
          <w:sz w:val="28"/>
          <w:szCs w:val="28"/>
        </w:rPr>
        <w:t>空间建设</w:t>
      </w:r>
      <w:r>
        <w:rPr>
          <w:sz w:val="28"/>
          <w:szCs w:val="28"/>
        </w:rPr>
        <w:t>不宜超过</w:t>
      </w:r>
      <w:r>
        <w:rPr>
          <w:rFonts w:hint="eastAsia"/>
          <w:sz w:val="28"/>
          <w:szCs w:val="28"/>
        </w:rPr>
        <w:t>二层。地下车库宜采用立体机械式停车方式。</w:t>
      </w:r>
    </w:p>
    <w:p w14:paraId="0BC2499D">
      <w:pPr>
        <w:pStyle w:val="47"/>
        <w:spacing w:line="580" w:lineRule="exact"/>
      </w:pPr>
      <w:r>
        <w:rPr>
          <w:rFonts w:hint="eastAsia"/>
        </w:rPr>
        <w:t>(二)地下</w:t>
      </w:r>
      <w:r>
        <w:t>空间的管理</w:t>
      </w:r>
    </w:p>
    <w:p w14:paraId="79D572C8">
      <w:pPr>
        <w:pStyle w:val="37"/>
        <w:spacing w:line="580" w:lineRule="exact"/>
        <w:ind w:firstLine="560"/>
        <w:rPr>
          <w:sz w:val="28"/>
          <w:szCs w:val="28"/>
        </w:rPr>
      </w:pPr>
      <w:r>
        <w:rPr>
          <w:rFonts w:hint="eastAsia"/>
          <w:sz w:val="28"/>
          <w:szCs w:val="28"/>
        </w:rPr>
        <w:t>结合土地利用规划及用地权属，建议地下空间与地上空间统一权属，建筑</w:t>
      </w:r>
      <w:r>
        <w:rPr>
          <w:sz w:val="28"/>
          <w:szCs w:val="28"/>
        </w:rPr>
        <w:t>地块</w:t>
      </w:r>
      <w:r>
        <w:rPr>
          <w:rFonts w:hint="eastAsia"/>
          <w:sz w:val="28"/>
          <w:szCs w:val="28"/>
        </w:rPr>
        <w:t>地下</w:t>
      </w:r>
      <w:r>
        <w:rPr>
          <w:sz w:val="28"/>
          <w:szCs w:val="28"/>
        </w:rPr>
        <w:t>空间</w:t>
      </w:r>
      <w:r>
        <w:rPr>
          <w:rFonts w:hint="eastAsia"/>
          <w:sz w:val="28"/>
          <w:szCs w:val="28"/>
        </w:rPr>
        <w:t>开发</w:t>
      </w:r>
      <w:r>
        <w:rPr>
          <w:sz w:val="28"/>
          <w:szCs w:val="28"/>
        </w:rPr>
        <w:t>不允许占用防护绿地、公共绿地地下空间。</w:t>
      </w:r>
      <w:r>
        <w:rPr>
          <w:rFonts w:hint="eastAsia"/>
          <w:sz w:val="28"/>
          <w:szCs w:val="28"/>
        </w:rPr>
        <w:t>组团公共服务中心</w:t>
      </w:r>
      <w:r>
        <w:rPr>
          <w:sz w:val="28"/>
          <w:szCs w:val="28"/>
        </w:rPr>
        <w:t>地下空间</w:t>
      </w:r>
      <w:r>
        <w:rPr>
          <w:rFonts w:hint="eastAsia"/>
          <w:sz w:val="28"/>
          <w:szCs w:val="28"/>
        </w:rPr>
        <w:t>宜采取统一规划、统一设计、统一管理的方式，同一街区内的地块间宜保证地下交通空间互联互通。</w:t>
      </w:r>
    </w:p>
    <w:p w14:paraId="3A1FD9FD">
      <w:pPr>
        <w:pStyle w:val="37"/>
        <w:spacing w:line="580" w:lineRule="exact"/>
        <w:ind w:firstLine="560"/>
        <w:rPr>
          <w:sz w:val="28"/>
          <w:szCs w:val="28"/>
        </w:rPr>
      </w:pPr>
      <w:r>
        <w:rPr>
          <w:rFonts w:hint="eastAsia"/>
          <w:sz w:val="28"/>
          <w:szCs w:val="28"/>
        </w:rPr>
        <w:t>组团公共服务中心</w:t>
      </w:r>
      <w:r>
        <w:rPr>
          <w:sz w:val="28"/>
          <w:szCs w:val="28"/>
        </w:rPr>
        <w:t>地下</w:t>
      </w:r>
      <w:r>
        <w:rPr>
          <w:rFonts w:hint="eastAsia"/>
          <w:sz w:val="28"/>
          <w:szCs w:val="28"/>
        </w:rPr>
        <w:t>车</w:t>
      </w:r>
      <w:r>
        <w:rPr>
          <w:sz w:val="28"/>
          <w:szCs w:val="28"/>
        </w:rPr>
        <w:t>库同时承担单元内机动车交通组织的作用，因此地下车库</w:t>
      </w:r>
      <w:r>
        <w:rPr>
          <w:rFonts w:hint="eastAsia"/>
          <w:sz w:val="28"/>
          <w:szCs w:val="28"/>
        </w:rPr>
        <w:t>应</w:t>
      </w:r>
      <w:r>
        <w:rPr>
          <w:sz w:val="28"/>
          <w:szCs w:val="28"/>
        </w:rPr>
        <w:t>具备自然采光和通风的条件，</w:t>
      </w:r>
      <w:r>
        <w:rPr>
          <w:rFonts w:hint="eastAsia"/>
          <w:sz w:val="28"/>
          <w:szCs w:val="28"/>
        </w:rPr>
        <w:t>并</w:t>
      </w:r>
      <w:r>
        <w:rPr>
          <w:sz w:val="28"/>
          <w:szCs w:val="28"/>
        </w:rPr>
        <w:t>加强地下空间的可识别性和智</w:t>
      </w:r>
      <w:r>
        <w:rPr>
          <w:rFonts w:hint="eastAsia"/>
          <w:sz w:val="28"/>
          <w:szCs w:val="28"/>
        </w:rPr>
        <w:t>能化</w:t>
      </w:r>
      <w:r>
        <w:rPr>
          <w:sz w:val="28"/>
          <w:szCs w:val="28"/>
        </w:rPr>
        <w:t>管理。</w:t>
      </w:r>
    </w:p>
    <w:p w14:paraId="56CD56DF">
      <w:pPr>
        <w:pStyle w:val="38"/>
        <w:numPr>
          <w:ilvl w:val="0"/>
          <w:numId w:val="9"/>
        </w:numPr>
        <w:spacing w:before="0" w:beforeLines="0" w:after="0" w:afterLines="0" w:line="580" w:lineRule="exact"/>
        <w:rPr>
          <w:rFonts w:ascii="黑体" w:hAnsi="黑体"/>
          <w:b/>
        </w:rPr>
      </w:pPr>
      <w:bookmarkStart w:id="49" w:name="_Toc15607"/>
      <w:bookmarkStart w:id="50" w:name="_Toc441214855"/>
      <w:bookmarkStart w:id="51" w:name="_Toc528317043"/>
      <w:r>
        <w:rPr>
          <w:rFonts w:hint="eastAsia" w:ascii="黑体" w:hAnsi="黑体"/>
          <w:b/>
        </w:rPr>
        <w:t>竖向</w:t>
      </w:r>
      <w:r>
        <w:rPr>
          <w:rFonts w:ascii="黑体" w:hAnsi="黑体"/>
          <w:b/>
        </w:rPr>
        <w:t>规划</w:t>
      </w:r>
      <w:bookmarkEnd w:id="49"/>
      <w:bookmarkEnd w:id="50"/>
      <w:bookmarkEnd w:id="51"/>
    </w:p>
    <w:p w14:paraId="4308ABFE">
      <w:pPr>
        <w:pStyle w:val="37"/>
        <w:spacing w:line="580" w:lineRule="exact"/>
        <w:ind w:firstLine="560"/>
        <w:rPr>
          <w:sz w:val="28"/>
          <w:szCs w:val="28"/>
        </w:rPr>
      </w:pPr>
      <w:r>
        <w:rPr>
          <w:rFonts w:hint="eastAsia"/>
          <w:sz w:val="28"/>
          <w:szCs w:val="28"/>
        </w:rPr>
        <w:t>竖向设计以现状地形和基地周边道路控制标高为依据，结合本区的形态空间规划设计意图来进行规划，力求在经济、技术和景观等各方面达到最优化配置。</w:t>
      </w:r>
    </w:p>
    <w:p w14:paraId="76950A83">
      <w:pPr>
        <w:pStyle w:val="37"/>
        <w:spacing w:line="580" w:lineRule="exact"/>
        <w:ind w:firstLine="560"/>
        <w:rPr>
          <w:sz w:val="28"/>
          <w:szCs w:val="28"/>
        </w:rPr>
      </w:pPr>
      <w:r>
        <w:rPr>
          <w:rFonts w:hint="eastAsia"/>
          <w:sz w:val="28"/>
          <w:szCs w:val="28"/>
        </w:rPr>
        <w:t>规划区基地的现状地形起伏较大，整体地形是西北高、东南低。考虑了地形、排水、道路坡度和用地地块出入口等多种因素来确定，充分结合现状在满足道路竖向设计的前提下，尽量使土方量在基地内平衡，同时便于雨水排放和污水收集。考虑到道路周围建筑的影响及场地的填方量，参照《城市道路设计手册》，道路最小纵坡控制为0.20%，主干道最大纵坡6%，支路最大坡度8%。</w:t>
      </w:r>
    </w:p>
    <w:p w14:paraId="09A548B4">
      <w:pPr>
        <w:pStyle w:val="37"/>
        <w:spacing w:line="580" w:lineRule="exact"/>
        <w:ind w:firstLine="560"/>
        <w:rPr>
          <w:sz w:val="28"/>
          <w:szCs w:val="28"/>
        </w:rPr>
      </w:pPr>
      <w:r>
        <w:rPr>
          <w:rFonts w:hint="eastAsia"/>
          <w:sz w:val="28"/>
          <w:szCs w:val="28"/>
        </w:rPr>
        <w:t>道路竖向设计综合考虑地形、防洪防涝、街坊排水和工程管线的布线要求，规划</w:t>
      </w:r>
      <w:r>
        <w:rPr>
          <w:sz w:val="28"/>
          <w:szCs w:val="28"/>
        </w:rPr>
        <w:t>道路竖向标高在</w:t>
      </w:r>
      <w:r>
        <w:rPr>
          <w:rFonts w:hint="eastAsia"/>
          <w:sz w:val="28"/>
          <w:szCs w:val="28"/>
        </w:rPr>
        <w:t>1245.0-1345.0米</w:t>
      </w:r>
      <w:r>
        <w:rPr>
          <w:sz w:val="28"/>
          <w:szCs w:val="28"/>
        </w:rPr>
        <w:t>之间，</w:t>
      </w:r>
      <w:r>
        <w:rPr>
          <w:rFonts w:hint="eastAsia"/>
          <w:sz w:val="28"/>
          <w:szCs w:val="28"/>
        </w:rPr>
        <w:t>控制</w:t>
      </w:r>
      <w:r>
        <w:rPr>
          <w:sz w:val="28"/>
          <w:szCs w:val="28"/>
        </w:rPr>
        <w:t>最</w:t>
      </w:r>
      <w:r>
        <w:rPr>
          <w:rFonts w:hint="eastAsia"/>
          <w:sz w:val="28"/>
          <w:szCs w:val="28"/>
        </w:rPr>
        <w:t>小</w:t>
      </w:r>
      <w:r>
        <w:rPr>
          <w:sz w:val="28"/>
          <w:szCs w:val="28"/>
        </w:rPr>
        <w:t>道路纵坡</w:t>
      </w:r>
      <w:r>
        <w:rPr>
          <w:rFonts w:hint="eastAsia"/>
          <w:sz w:val="28"/>
          <w:szCs w:val="28"/>
        </w:rPr>
        <w:t>0.32</w:t>
      </w:r>
      <w:r>
        <w:rPr>
          <w:sz w:val="28"/>
          <w:szCs w:val="28"/>
        </w:rPr>
        <w:t>%</w:t>
      </w:r>
      <w:r>
        <w:rPr>
          <w:rFonts w:hint="eastAsia"/>
          <w:sz w:val="28"/>
          <w:szCs w:val="28"/>
        </w:rPr>
        <w:t>，最大纵坡7.4%，道路横坡控制在1%—2%之间。</w:t>
      </w:r>
      <w:r>
        <w:rPr>
          <w:sz w:val="28"/>
          <w:szCs w:val="28"/>
        </w:rPr>
        <w:t>道路设计</w:t>
      </w:r>
      <w:r>
        <w:rPr>
          <w:rFonts w:hint="eastAsia"/>
          <w:sz w:val="28"/>
          <w:szCs w:val="28"/>
        </w:rPr>
        <w:t>应</w:t>
      </w:r>
      <w:r>
        <w:rPr>
          <w:sz w:val="28"/>
          <w:szCs w:val="28"/>
        </w:rPr>
        <w:t>以规划道路标高为依据，</w:t>
      </w:r>
      <w:r>
        <w:rPr>
          <w:rFonts w:hint="eastAsia"/>
          <w:sz w:val="28"/>
          <w:szCs w:val="28"/>
        </w:rPr>
        <w:t>干路交叉点规划控制高程不宜进行调整</w:t>
      </w:r>
      <w:r>
        <w:rPr>
          <w:sz w:val="28"/>
          <w:szCs w:val="28"/>
        </w:rPr>
        <w:t>。</w:t>
      </w:r>
      <w:r>
        <w:rPr>
          <w:rFonts w:hint="eastAsia"/>
          <w:sz w:val="28"/>
          <w:szCs w:val="28"/>
        </w:rPr>
        <w:t>地块内坡度大于8%时，应设计台地进行划分，并增加步行通道与周边地块联通。</w:t>
      </w:r>
    </w:p>
    <w:p w14:paraId="2F8789A4">
      <w:pPr>
        <w:spacing w:line="580" w:lineRule="exact"/>
        <w:rPr>
          <w:rFonts w:ascii="宋体" w:hAnsi="宋体"/>
          <w:sz w:val="28"/>
          <w:szCs w:val="28"/>
        </w:rPr>
      </w:pPr>
    </w:p>
    <w:p w14:paraId="6B84C2FD">
      <w:pPr>
        <w:spacing w:line="580" w:lineRule="exact"/>
        <w:rPr>
          <w:rFonts w:ascii="宋体" w:hAnsi="宋体"/>
          <w:sz w:val="28"/>
          <w:szCs w:val="28"/>
        </w:rPr>
      </w:pPr>
    </w:p>
    <w:p w14:paraId="4F54C84C">
      <w:pPr>
        <w:spacing w:line="580" w:lineRule="exact"/>
        <w:rPr>
          <w:rFonts w:ascii="宋体" w:hAnsi="宋体"/>
          <w:sz w:val="28"/>
          <w:szCs w:val="28"/>
        </w:rPr>
      </w:pPr>
    </w:p>
    <w:p w14:paraId="3DE6FB15">
      <w:pPr>
        <w:widowControl/>
        <w:jc w:val="left"/>
        <w:rPr>
          <w:rFonts w:ascii="黑体" w:hAnsi="黑体" w:eastAsia="黑体"/>
          <w:b/>
          <w:bCs/>
          <w:kern w:val="44"/>
          <w:sz w:val="36"/>
          <w:szCs w:val="36"/>
        </w:rPr>
      </w:pPr>
      <w:bookmarkStart w:id="52" w:name="_Toc27261"/>
      <w:bookmarkStart w:id="53" w:name="_Toc441214856"/>
      <w:r>
        <w:rPr>
          <w:rFonts w:ascii="黑体" w:hAnsi="黑体" w:eastAsia="黑体"/>
          <w:sz w:val="36"/>
          <w:szCs w:val="36"/>
        </w:rPr>
        <w:br w:type="page"/>
      </w:r>
    </w:p>
    <w:p w14:paraId="68286A57">
      <w:pPr>
        <w:pStyle w:val="2"/>
        <w:spacing w:before="0" w:after="0" w:line="580" w:lineRule="exact"/>
        <w:jc w:val="center"/>
        <w:rPr>
          <w:rFonts w:ascii="黑体" w:hAnsi="黑体" w:eastAsia="黑体"/>
          <w:sz w:val="36"/>
          <w:szCs w:val="36"/>
        </w:rPr>
      </w:pPr>
      <w:bookmarkStart w:id="54" w:name="_Toc528317044"/>
      <w:r>
        <w:rPr>
          <w:rFonts w:hint="eastAsia" w:ascii="黑体" w:hAnsi="黑体" w:eastAsia="黑体"/>
          <w:sz w:val="36"/>
          <w:szCs w:val="36"/>
        </w:rPr>
        <w:t>第九章  市政</w:t>
      </w:r>
      <w:r>
        <w:rPr>
          <w:rFonts w:ascii="黑体" w:hAnsi="黑体" w:eastAsia="黑体"/>
          <w:sz w:val="36"/>
          <w:szCs w:val="36"/>
        </w:rPr>
        <w:t>工程规划</w:t>
      </w:r>
      <w:bookmarkEnd w:id="52"/>
      <w:bookmarkEnd w:id="53"/>
      <w:bookmarkEnd w:id="54"/>
    </w:p>
    <w:p w14:paraId="0B2976B5">
      <w:pPr>
        <w:spacing w:line="580" w:lineRule="exact"/>
        <w:rPr>
          <w:rFonts w:ascii="宋体" w:hAnsi="宋体"/>
          <w:sz w:val="28"/>
          <w:szCs w:val="28"/>
        </w:rPr>
      </w:pPr>
    </w:p>
    <w:p w14:paraId="648F979A">
      <w:pPr>
        <w:pStyle w:val="38"/>
        <w:numPr>
          <w:ilvl w:val="0"/>
          <w:numId w:val="10"/>
        </w:numPr>
        <w:spacing w:before="0" w:beforeLines="0" w:after="0" w:afterLines="0" w:line="580" w:lineRule="exact"/>
        <w:rPr>
          <w:rFonts w:ascii="黑体" w:hAnsi="黑体"/>
          <w:b/>
        </w:rPr>
      </w:pPr>
      <w:bookmarkStart w:id="55" w:name="_Toc402516192"/>
      <w:bookmarkStart w:id="56" w:name="_Toc528317045"/>
      <w:r>
        <w:rPr>
          <w:rFonts w:hint="eastAsia" w:ascii="黑体" w:hAnsi="黑体"/>
          <w:b/>
        </w:rPr>
        <w:t>给水工程规划</w:t>
      </w:r>
      <w:bookmarkEnd w:id="55"/>
      <w:bookmarkEnd w:id="56"/>
    </w:p>
    <w:p w14:paraId="480E48BB">
      <w:pPr>
        <w:pStyle w:val="17"/>
        <w:spacing w:line="580" w:lineRule="exact"/>
        <w:ind w:firstLine="560" w:firstLineChars="200"/>
        <w:textAlignment w:val="baseline"/>
        <w:rPr>
          <w:szCs w:val="28"/>
        </w:rPr>
      </w:pPr>
      <w:bookmarkStart w:id="57" w:name="_Toc243101018"/>
      <w:r>
        <w:rPr>
          <w:rFonts w:hint="eastAsia"/>
          <w:szCs w:val="28"/>
        </w:rPr>
        <w:t>(一)需量预测</w:t>
      </w:r>
      <w:bookmarkEnd w:id="57"/>
    </w:p>
    <w:p w14:paraId="0B99D840">
      <w:pPr>
        <w:pStyle w:val="17"/>
        <w:spacing w:line="580" w:lineRule="exact"/>
        <w:ind w:firstLine="560" w:firstLineChars="200"/>
        <w:textAlignment w:val="baseline"/>
        <w:rPr>
          <w:szCs w:val="28"/>
        </w:rPr>
      </w:pPr>
      <w:r>
        <w:rPr>
          <w:rFonts w:hint="eastAsia"/>
          <w:szCs w:val="28"/>
        </w:rPr>
        <w:t>规划面积</w:t>
      </w:r>
      <w:r>
        <w:rPr>
          <w:szCs w:val="28"/>
        </w:rPr>
        <w:t>1043.73</w:t>
      </w:r>
      <w:r>
        <w:rPr>
          <w:rFonts w:hint="eastAsia"/>
          <w:szCs w:val="28"/>
        </w:rPr>
        <w:t>hm</w:t>
      </w:r>
      <w:r>
        <w:rPr>
          <w:rFonts w:hint="eastAsia"/>
          <w:szCs w:val="28"/>
          <w:vertAlign w:val="superscript"/>
        </w:rPr>
        <w:t>2</w:t>
      </w:r>
      <w:r>
        <w:rPr>
          <w:rFonts w:hint="eastAsia"/>
          <w:szCs w:val="28"/>
        </w:rPr>
        <w:t>,可安排居住人口</w:t>
      </w:r>
      <w:r>
        <w:rPr>
          <w:szCs w:val="28"/>
        </w:rPr>
        <w:t>9.9</w:t>
      </w:r>
      <w:r>
        <w:rPr>
          <w:rFonts w:hint="eastAsia"/>
          <w:szCs w:val="28"/>
        </w:rPr>
        <w:t>万人。</w:t>
      </w:r>
    </w:p>
    <w:p w14:paraId="3EB6831E">
      <w:pPr>
        <w:pStyle w:val="17"/>
        <w:spacing w:line="580" w:lineRule="exact"/>
        <w:ind w:firstLine="560" w:firstLineChars="200"/>
        <w:textAlignment w:val="baseline"/>
        <w:rPr>
          <w:szCs w:val="28"/>
        </w:rPr>
      </w:pPr>
      <w:r>
        <w:rPr>
          <w:rFonts w:hint="eastAsia"/>
          <w:szCs w:val="28"/>
        </w:rPr>
        <w:t>1、居民综合生活用水量</w:t>
      </w:r>
    </w:p>
    <w:p w14:paraId="2654C830">
      <w:pPr>
        <w:pStyle w:val="17"/>
        <w:spacing w:line="580" w:lineRule="exact"/>
        <w:ind w:firstLine="560" w:firstLineChars="200"/>
        <w:textAlignment w:val="baseline"/>
        <w:rPr>
          <w:szCs w:val="28"/>
        </w:rPr>
      </w:pPr>
      <w:r>
        <w:rPr>
          <w:rFonts w:hint="eastAsia"/>
          <w:szCs w:val="28"/>
        </w:rPr>
        <w:t>民综合生活用水量指标采用最高</w:t>
      </w:r>
      <w:r>
        <w:rPr>
          <w:szCs w:val="28"/>
        </w:rPr>
        <w:t>日</w:t>
      </w:r>
      <w:r>
        <w:rPr>
          <w:rFonts w:hint="eastAsia"/>
          <w:szCs w:val="28"/>
        </w:rPr>
        <w:t>200</w:t>
      </w:r>
      <w:r>
        <w:rPr>
          <w:szCs w:val="28"/>
        </w:rPr>
        <w:t>L/d</w:t>
      </w:r>
      <w:r>
        <w:rPr>
          <w:rFonts w:hint="eastAsia"/>
          <w:szCs w:val="28"/>
        </w:rPr>
        <w:t>。陵川县城规划人口为</w:t>
      </w:r>
      <w:r>
        <w:rPr>
          <w:szCs w:val="28"/>
        </w:rPr>
        <w:t>9.9</w:t>
      </w:r>
      <w:r>
        <w:rPr>
          <w:rFonts w:hint="eastAsia"/>
          <w:szCs w:val="28"/>
        </w:rPr>
        <w:t>万，则最高日综合生活用水量为</w:t>
      </w:r>
      <w:r>
        <w:rPr>
          <w:szCs w:val="28"/>
        </w:rPr>
        <w:t>1.98</w:t>
      </w:r>
      <w:r>
        <w:rPr>
          <w:rFonts w:hint="eastAsia"/>
          <w:szCs w:val="28"/>
        </w:rPr>
        <w:t>万</w:t>
      </w:r>
      <w:r>
        <w:rPr>
          <w:szCs w:val="28"/>
        </w:rPr>
        <w:t>m</w:t>
      </w:r>
      <w:r>
        <w:rPr>
          <w:szCs w:val="28"/>
          <w:vertAlign w:val="superscript"/>
        </w:rPr>
        <w:t>3</w:t>
      </w:r>
      <w:r>
        <w:rPr>
          <w:szCs w:val="28"/>
        </w:rPr>
        <w:t>/d</w:t>
      </w:r>
      <w:r>
        <w:rPr>
          <w:rFonts w:hint="eastAsia"/>
          <w:szCs w:val="28"/>
        </w:rPr>
        <w:t>。</w:t>
      </w:r>
    </w:p>
    <w:p w14:paraId="73982A7D">
      <w:pPr>
        <w:pStyle w:val="17"/>
        <w:spacing w:line="580" w:lineRule="exact"/>
        <w:ind w:firstLine="560" w:firstLineChars="200"/>
        <w:textAlignment w:val="baseline"/>
        <w:rPr>
          <w:szCs w:val="28"/>
        </w:rPr>
      </w:pPr>
      <w:r>
        <w:rPr>
          <w:rFonts w:hint="eastAsia"/>
          <w:szCs w:val="28"/>
        </w:rPr>
        <w:t>2、浇洒道路广场、浇洒绿地用水量</w:t>
      </w:r>
    </w:p>
    <w:p w14:paraId="7E2B0315">
      <w:pPr>
        <w:pStyle w:val="17"/>
        <w:spacing w:line="580" w:lineRule="exact"/>
        <w:ind w:firstLine="560" w:firstLineChars="200"/>
        <w:textAlignment w:val="baseline"/>
        <w:rPr>
          <w:szCs w:val="28"/>
        </w:rPr>
      </w:pPr>
      <w:r>
        <w:rPr>
          <w:rFonts w:hint="eastAsia"/>
          <w:szCs w:val="28"/>
        </w:rPr>
        <w:t>规划道路浇洒用水指标采用2.0L/( m</w:t>
      </w:r>
      <w:r>
        <w:rPr>
          <w:rFonts w:hint="eastAsia"/>
          <w:szCs w:val="28"/>
          <w:vertAlign w:val="superscript"/>
        </w:rPr>
        <w:t>2</w:t>
      </w:r>
      <w:r>
        <w:rPr>
          <w:rFonts w:hint="eastAsia"/>
          <w:szCs w:val="28"/>
        </w:rPr>
        <w:t>·d)，公共绿地浇洒用水指标采用2.0L/( m</w:t>
      </w:r>
      <w:r>
        <w:rPr>
          <w:rFonts w:hint="eastAsia"/>
          <w:szCs w:val="28"/>
          <w:vertAlign w:val="superscript"/>
        </w:rPr>
        <w:t>2</w:t>
      </w:r>
      <w:r>
        <w:rPr>
          <w:rFonts w:hint="eastAsia"/>
          <w:szCs w:val="28"/>
        </w:rPr>
        <w:t>·d)，防护绿地浇洒用水指标采用1.0L/( m</w:t>
      </w:r>
      <w:r>
        <w:rPr>
          <w:rFonts w:hint="eastAsia"/>
          <w:szCs w:val="28"/>
          <w:vertAlign w:val="superscript"/>
        </w:rPr>
        <w:t>2</w:t>
      </w:r>
      <w:r>
        <w:rPr>
          <w:rFonts w:hint="eastAsia"/>
          <w:szCs w:val="28"/>
        </w:rPr>
        <w:t>·d)。每日需要浇洒的绿地、道路的面积按规划面积的</w:t>
      </w:r>
      <w:r>
        <w:rPr>
          <w:szCs w:val="28"/>
        </w:rPr>
        <w:t>50%</w:t>
      </w:r>
      <w:r>
        <w:rPr>
          <w:rFonts w:hint="eastAsia"/>
          <w:szCs w:val="28"/>
        </w:rPr>
        <w:t>和40</w:t>
      </w:r>
      <w:r>
        <w:rPr>
          <w:szCs w:val="28"/>
        </w:rPr>
        <w:t>%</w:t>
      </w:r>
      <w:r>
        <w:rPr>
          <w:rFonts w:hint="eastAsia"/>
          <w:szCs w:val="28"/>
        </w:rPr>
        <w:t>计算，则需要浇洒的公共绿地、防护绿地与道路广场面积分别为</w:t>
      </w:r>
      <w:r>
        <w:rPr>
          <w:szCs w:val="28"/>
        </w:rPr>
        <w:t>153.46</w:t>
      </w:r>
      <w:r>
        <w:rPr>
          <w:rFonts w:hint="eastAsia"/>
          <w:szCs w:val="28"/>
        </w:rPr>
        <w:t>万m</w:t>
      </w:r>
      <w:r>
        <w:rPr>
          <w:rFonts w:hint="eastAsia"/>
          <w:szCs w:val="28"/>
          <w:vertAlign w:val="superscript"/>
        </w:rPr>
        <w:t>2</w:t>
      </w:r>
      <w:r>
        <w:rPr>
          <w:rFonts w:hint="eastAsia"/>
          <w:szCs w:val="28"/>
        </w:rPr>
        <w:t>、</w:t>
      </w:r>
      <w:r>
        <w:rPr>
          <w:szCs w:val="28"/>
        </w:rPr>
        <w:t>43.14</w:t>
      </w:r>
      <w:r>
        <w:rPr>
          <w:rFonts w:hint="eastAsia"/>
          <w:szCs w:val="28"/>
        </w:rPr>
        <w:t>万m</w:t>
      </w:r>
      <w:r>
        <w:rPr>
          <w:rFonts w:hint="eastAsia"/>
          <w:szCs w:val="28"/>
          <w:vertAlign w:val="superscript"/>
        </w:rPr>
        <w:t>2</w:t>
      </w:r>
      <w:r>
        <w:rPr>
          <w:rFonts w:hint="eastAsia"/>
          <w:szCs w:val="28"/>
        </w:rPr>
        <w:t>、</w:t>
      </w:r>
      <w:r>
        <w:rPr>
          <w:szCs w:val="28"/>
        </w:rPr>
        <w:t>151.91</w:t>
      </w:r>
      <w:r>
        <w:rPr>
          <w:rFonts w:hint="eastAsia"/>
          <w:szCs w:val="28"/>
        </w:rPr>
        <w:t>万m</w:t>
      </w:r>
      <w:r>
        <w:rPr>
          <w:rFonts w:hint="eastAsia"/>
          <w:szCs w:val="28"/>
          <w:vertAlign w:val="superscript"/>
        </w:rPr>
        <w:t>2</w:t>
      </w:r>
      <w:r>
        <w:rPr>
          <w:rFonts w:hint="eastAsia"/>
          <w:szCs w:val="28"/>
        </w:rPr>
        <w:t>。据此计算浇洒用水量之和为0.</w:t>
      </w:r>
      <w:r>
        <w:rPr>
          <w:szCs w:val="28"/>
        </w:rPr>
        <w:t>32</w:t>
      </w:r>
      <w:r>
        <w:rPr>
          <w:rFonts w:hint="eastAsia"/>
          <w:szCs w:val="28"/>
        </w:rPr>
        <w:t>万m</w:t>
      </w:r>
      <w:r>
        <w:rPr>
          <w:rFonts w:hint="eastAsia"/>
          <w:szCs w:val="28"/>
          <w:vertAlign w:val="superscript"/>
        </w:rPr>
        <w:t>3</w:t>
      </w:r>
      <w:r>
        <w:rPr>
          <w:rFonts w:hint="eastAsia"/>
          <w:szCs w:val="28"/>
        </w:rPr>
        <w:t>/d。</w:t>
      </w:r>
    </w:p>
    <w:p w14:paraId="095B1139">
      <w:pPr>
        <w:pStyle w:val="17"/>
        <w:spacing w:line="580" w:lineRule="exact"/>
        <w:ind w:firstLine="560" w:firstLineChars="200"/>
        <w:textAlignment w:val="baseline"/>
        <w:rPr>
          <w:szCs w:val="28"/>
        </w:rPr>
      </w:pPr>
      <w:r>
        <w:rPr>
          <w:rFonts w:hint="eastAsia"/>
          <w:szCs w:val="28"/>
        </w:rPr>
        <w:t>3、管网漏失水量</w:t>
      </w:r>
    </w:p>
    <w:p w14:paraId="2E6573FA">
      <w:pPr>
        <w:pStyle w:val="17"/>
        <w:spacing w:line="580" w:lineRule="exact"/>
        <w:ind w:firstLine="560" w:firstLineChars="200"/>
        <w:textAlignment w:val="baseline"/>
        <w:rPr>
          <w:szCs w:val="28"/>
        </w:rPr>
      </w:pPr>
      <w:r>
        <w:rPr>
          <w:rFonts w:hint="eastAsia"/>
          <w:szCs w:val="28"/>
        </w:rPr>
        <w:t>管网漏失水量按1</w:t>
      </w:r>
      <w:r>
        <w:rPr>
          <w:szCs w:val="28"/>
        </w:rPr>
        <w:t>—</w:t>
      </w:r>
      <w:r>
        <w:rPr>
          <w:rFonts w:hint="eastAsia"/>
          <w:szCs w:val="28"/>
        </w:rPr>
        <w:t>2项用水量之和的12</w:t>
      </w:r>
      <w:r>
        <w:rPr>
          <w:szCs w:val="28"/>
        </w:rPr>
        <w:t>%</w:t>
      </w:r>
      <w:r>
        <w:rPr>
          <w:rFonts w:hint="eastAsia"/>
          <w:szCs w:val="28"/>
        </w:rPr>
        <w:t>计，则管网漏失水量为0.04万m</w:t>
      </w:r>
      <w:r>
        <w:rPr>
          <w:rFonts w:hint="eastAsia"/>
          <w:szCs w:val="28"/>
          <w:vertAlign w:val="superscript"/>
        </w:rPr>
        <w:t>3</w:t>
      </w:r>
      <w:r>
        <w:rPr>
          <w:rFonts w:hint="eastAsia"/>
          <w:szCs w:val="28"/>
        </w:rPr>
        <w:t>/d。</w:t>
      </w:r>
    </w:p>
    <w:p w14:paraId="5FDF1501">
      <w:pPr>
        <w:pStyle w:val="17"/>
        <w:spacing w:line="580" w:lineRule="exact"/>
        <w:ind w:firstLine="560" w:firstLineChars="200"/>
        <w:textAlignment w:val="baseline"/>
        <w:rPr>
          <w:szCs w:val="28"/>
        </w:rPr>
      </w:pPr>
      <w:r>
        <w:rPr>
          <w:rFonts w:hint="eastAsia"/>
          <w:szCs w:val="28"/>
        </w:rPr>
        <w:t>4、未预见水量</w:t>
      </w:r>
    </w:p>
    <w:p w14:paraId="011A5F39">
      <w:pPr>
        <w:pStyle w:val="17"/>
        <w:spacing w:line="580" w:lineRule="exact"/>
        <w:ind w:firstLine="560" w:firstLineChars="200"/>
        <w:textAlignment w:val="baseline"/>
        <w:rPr>
          <w:szCs w:val="28"/>
        </w:rPr>
      </w:pPr>
      <w:r>
        <w:rPr>
          <w:rFonts w:hint="eastAsia"/>
          <w:szCs w:val="28"/>
        </w:rPr>
        <w:t>未预见水量按1</w:t>
      </w:r>
      <w:r>
        <w:rPr>
          <w:szCs w:val="28"/>
        </w:rPr>
        <w:t>—</w:t>
      </w:r>
      <w:r>
        <w:rPr>
          <w:rFonts w:hint="eastAsia"/>
          <w:szCs w:val="28"/>
        </w:rPr>
        <w:t>3项用水量之和的8</w:t>
      </w:r>
      <w:r>
        <w:rPr>
          <w:szCs w:val="28"/>
        </w:rPr>
        <w:t>%</w:t>
      </w:r>
      <w:r>
        <w:rPr>
          <w:rFonts w:hint="eastAsia"/>
          <w:szCs w:val="28"/>
        </w:rPr>
        <w:t>计，则未预见水量为0.</w:t>
      </w:r>
      <w:r>
        <w:rPr>
          <w:szCs w:val="28"/>
        </w:rPr>
        <w:t>28</w:t>
      </w:r>
      <w:r>
        <w:rPr>
          <w:rFonts w:hint="eastAsia"/>
          <w:szCs w:val="28"/>
        </w:rPr>
        <w:t>万m</w:t>
      </w:r>
      <w:r>
        <w:rPr>
          <w:rFonts w:hint="eastAsia"/>
          <w:szCs w:val="28"/>
          <w:vertAlign w:val="superscript"/>
        </w:rPr>
        <w:t>3</w:t>
      </w:r>
      <w:r>
        <w:rPr>
          <w:rFonts w:hint="eastAsia"/>
          <w:szCs w:val="28"/>
        </w:rPr>
        <w:t>/d。</w:t>
      </w:r>
    </w:p>
    <w:p w14:paraId="2C3B368B">
      <w:pPr>
        <w:pStyle w:val="17"/>
        <w:spacing w:line="580" w:lineRule="exact"/>
        <w:ind w:firstLine="560" w:firstLineChars="200"/>
        <w:textAlignment w:val="baseline"/>
        <w:rPr>
          <w:szCs w:val="28"/>
        </w:rPr>
      </w:pPr>
      <w:r>
        <w:rPr>
          <w:rFonts w:hint="eastAsia"/>
          <w:szCs w:val="28"/>
        </w:rPr>
        <w:t>5、总用水量</w:t>
      </w:r>
    </w:p>
    <w:p w14:paraId="3EBC5F3A">
      <w:pPr>
        <w:pStyle w:val="17"/>
        <w:spacing w:line="580" w:lineRule="exact"/>
        <w:ind w:firstLine="560" w:firstLineChars="200"/>
        <w:textAlignment w:val="baseline"/>
        <w:rPr>
          <w:szCs w:val="28"/>
        </w:rPr>
      </w:pPr>
      <w:r>
        <w:rPr>
          <w:rFonts w:hint="eastAsia"/>
          <w:szCs w:val="28"/>
        </w:rPr>
        <w:t>总用水量为1-</w:t>
      </w:r>
      <w:r>
        <w:rPr>
          <w:szCs w:val="28"/>
        </w:rPr>
        <w:t>4</w:t>
      </w:r>
      <w:r>
        <w:rPr>
          <w:rFonts w:hint="eastAsia"/>
          <w:szCs w:val="28"/>
        </w:rPr>
        <w:t>项之和，则陵川县城最高日用水量为</w:t>
      </w:r>
      <w:r>
        <w:rPr>
          <w:szCs w:val="28"/>
        </w:rPr>
        <w:t>2.58</w:t>
      </w:r>
      <w:r>
        <w:rPr>
          <w:rFonts w:hint="eastAsia"/>
          <w:szCs w:val="28"/>
        </w:rPr>
        <w:t>万</w:t>
      </w:r>
      <w:r>
        <w:rPr>
          <w:szCs w:val="28"/>
        </w:rPr>
        <w:t>m</w:t>
      </w:r>
      <w:r>
        <w:rPr>
          <w:szCs w:val="28"/>
          <w:vertAlign w:val="superscript"/>
        </w:rPr>
        <w:t>3</w:t>
      </w:r>
      <w:r>
        <w:rPr>
          <w:szCs w:val="28"/>
        </w:rPr>
        <w:t>/d</w:t>
      </w:r>
      <w:r>
        <w:rPr>
          <w:rFonts w:hint="eastAsia"/>
          <w:szCs w:val="28"/>
        </w:rPr>
        <w:t>。</w:t>
      </w:r>
    </w:p>
    <w:p w14:paraId="1C2A8F7F">
      <w:pPr>
        <w:pStyle w:val="17"/>
        <w:spacing w:line="580" w:lineRule="exact"/>
        <w:ind w:firstLine="560" w:firstLineChars="200"/>
        <w:textAlignment w:val="baseline"/>
        <w:rPr>
          <w:szCs w:val="28"/>
        </w:rPr>
      </w:pPr>
      <w:r>
        <w:rPr>
          <w:rFonts w:hint="eastAsia"/>
          <w:szCs w:val="28"/>
        </w:rPr>
        <w:t>消防用水量：</w:t>
      </w:r>
    </w:p>
    <w:p w14:paraId="379434C4">
      <w:pPr>
        <w:pStyle w:val="17"/>
        <w:spacing w:line="580" w:lineRule="exact"/>
        <w:ind w:firstLine="560" w:firstLineChars="200"/>
        <w:textAlignment w:val="baseline"/>
        <w:rPr>
          <w:szCs w:val="28"/>
        </w:rPr>
      </w:pPr>
      <w:r>
        <w:rPr>
          <w:rFonts w:hint="eastAsia"/>
          <w:szCs w:val="28"/>
        </w:rPr>
        <w:t>以同时发生两次火灾，火灾延缓时间为</w:t>
      </w:r>
      <w:r>
        <w:rPr>
          <w:szCs w:val="28"/>
        </w:rPr>
        <w:t>2</w:t>
      </w:r>
      <w:r>
        <w:rPr>
          <w:rFonts w:hint="eastAsia"/>
          <w:szCs w:val="28"/>
        </w:rPr>
        <w:t>小时，每次灭火用水标准为45L</w:t>
      </w:r>
      <w:r>
        <w:rPr>
          <w:szCs w:val="28"/>
        </w:rPr>
        <w:t>/</w:t>
      </w:r>
      <w:r>
        <w:rPr>
          <w:rFonts w:hint="eastAsia"/>
          <w:szCs w:val="28"/>
        </w:rPr>
        <w:t>min计，据此计算，确定陵川县城的消防用水量为648</w:t>
      </w:r>
      <w:r>
        <w:rPr>
          <w:szCs w:val="28"/>
        </w:rPr>
        <w:t>m</w:t>
      </w:r>
      <w:r>
        <w:rPr>
          <w:szCs w:val="28"/>
          <w:vertAlign w:val="superscript"/>
        </w:rPr>
        <w:t>3</w:t>
      </w:r>
      <w:r>
        <w:rPr>
          <w:szCs w:val="28"/>
        </w:rPr>
        <w:t>/d</w:t>
      </w:r>
      <w:r>
        <w:rPr>
          <w:rFonts w:hint="eastAsia"/>
          <w:szCs w:val="28"/>
        </w:rPr>
        <w:t>。</w:t>
      </w:r>
    </w:p>
    <w:p w14:paraId="729E2E6E">
      <w:pPr>
        <w:pStyle w:val="17"/>
        <w:spacing w:line="580" w:lineRule="exact"/>
        <w:ind w:firstLine="560" w:firstLineChars="200"/>
        <w:textAlignment w:val="baseline"/>
        <w:rPr>
          <w:szCs w:val="28"/>
        </w:rPr>
      </w:pPr>
      <w:bookmarkStart w:id="58" w:name="_Toc243101019"/>
      <w:r>
        <w:rPr>
          <w:rFonts w:hint="eastAsia"/>
          <w:szCs w:val="28"/>
        </w:rPr>
        <w:t>(二)供水水源规划</w:t>
      </w:r>
      <w:bookmarkEnd w:id="58"/>
    </w:p>
    <w:p w14:paraId="1D8CEE30">
      <w:pPr>
        <w:pStyle w:val="17"/>
        <w:spacing w:line="580" w:lineRule="exact"/>
        <w:ind w:firstLine="560" w:firstLineChars="200"/>
        <w:textAlignment w:val="baseline"/>
        <w:rPr>
          <w:szCs w:val="28"/>
        </w:rPr>
      </w:pPr>
      <w:r>
        <w:rPr>
          <w:rFonts w:hint="eastAsia"/>
          <w:szCs w:val="28"/>
        </w:rPr>
        <w:t>1、主城区水源</w:t>
      </w:r>
    </w:p>
    <w:p w14:paraId="0C673E07">
      <w:pPr>
        <w:pStyle w:val="17"/>
        <w:spacing w:line="580" w:lineRule="exact"/>
        <w:ind w:firstLine="560" w:firstLineChars="200"/>
        <w:textAlignment w:val="baseline"/>
        <w:rPr>
          <w:szCs w:val="28"/>
        </w:rPr>
      </w:pPr>
      <w:r>
        <w:rPr>
          <w:rFonts w:hint="eastAsia"/>
          <w:szCs w:val="28"/>
        </w:rPr>
        <w:t>《陵川县县城总体规划》（2011-2030年）确定陵川县自来水公司供水系统供水水源为磨河水源和东双脑水源。规划到2030 年，磨河和东双脑饮用水源地可供陵川县自来水公司3万m</w:t>
      </w:r>
      <w:r>
        <w:rPr>
          <w:rFonts w:hint="eastAsia"/>
          <w:szCs w:val="28"/>
          <w:vertAlign w:val="superscript"/>
        </w:rPr>
        <w:t>3</w:t>
      </w:r>
      <w:r>
        <w:rPr>
          <w:rFonts w:hint="eastAsia"/>
          <w:szCs w:val="28"/>
        </w:rPr>
        <w:t>/d。</w:t>
      </w:r>
    </w:p>
    <w:p w14:paraId="70D843E0">
      <w:pPr>
        <w:pStyle w:val="17"/>
        <w:spacing w:line="580" w:lineRule="exact"/>
        <w:ind w:firstLine="560" w:firstLineChars="200"/>
        <w:textAlignment w:val="baseline"/>
        <w:rPr>
          <w:szCs w:val="28"/>
        </w:rPr>
      </w:pPr>
      <w:r>
        <w:rPr>
          <w:rFonts w:hint="eastAsia"/>
          <w:szCs w:val="28"/>
        </w:rPr>
        <w:t>2、再生水水源</w:t>
      </w:r>
    </w:p>
    <w:p w14:paraId="04007902">
      <w:pPr>
        <w:pStyle w:val="17"/>
        <w:spacing w:line="580" w:lineRule="exact"/>
        <w:ind w:firstLine="560" w:firstLineChars="200"/>
        <w:textAlignment w:val="baseline"/>
        <w:rPr>
          <w:szCs w:val="28"/>
        </w:rPr>
      </w:pPr>
      <w:r>
        <w:rPr>
          <w:rFonts w:hint="eastAsia"/>
          <w:szCs w:val="28"/>
        </w:rPr>
        <w:t>根据《陵川县县城总体规划》（2011-2030年）在规划期末，城市污水均应进行深度处理，达到《城市污水再生利用》系列标准，预计县城可提供1.4 万m</w:t>
      </w:r>
      <w:r>
        <w:rPr>
          <w:rFonts w:hint="eastAsia"/>
          <w:szCs w:val="28"/>
          <w:vertAlign w:val="superscript"/>
        </w:rPr>
        <w:t>3</w:t>
      </w:r>
      <w:r>
        <w:rPr>
          <w:rFonts w:hint="eastAsia"/>
          <w:szCs w:val="28"/>
        </w:rPr>
        <w:t>/d的再生水。</w:t>
      </w:r>
    </w:p>
    <w:p w14:paraId="679B6243">
      <w:pPr>
        <w:pStyle w:val="17"/>
        <w:spacing w:line="580" w:lineRule="exact"/>
        <w:ind w:firstLine="560" w:firstLineChars="200"/>
        <w:textAlignment w:val="baseline"/>
        <w:rPr>
          <w:szCs w:val="28"/>
        </w:rPr>
      </w:pPr>
      <w:r>
        <w:rPr>
          <w:rFonts w:hint="eastAsia"/>
          <w:szCs w:val="28"/>
        </w:rPr>
        <w:t>以上所述各处水源地供水总量为4.4万m</w:t>
      </w:r>
      <w:r>
        <w:rPr>
          <w:rFonts w:hint="eastAsia"/>
          <w:szCs w:val="28"/>
          <w:vertAlign w:val="superscript"/>
        </w:rPr>
        <w:t>3</w:t>
      </w:r>
      <w:r>
        <w:rPr>
          <w:rFonts w:hint="eastAsia"/>
          <w:szCs w:val="28"/>
        </w:rPr>
        <w:t>/日，可以满足城市需要。</w:t>
      </w:r>
    </w:p>
    <w:p w14:paraId="4DBDE286">
      <w:pPr>
        <w:pStyle w:val="17"/>
        <w:spacing w:line="580" w:lineRule="exact"/>
        <w:ind w:firstLine="560" w:firstLineChars="200"/>
        <w:textAlignment w:val="baseline"/>
        <w:rPr>
          <w:szCs w:val="28"/>
        </w:rPr>
      </w:pPr>
      <w:r>
        <w:rPr>
          <w:rFonts w:hint="eastAsia"/>
          <w:szCs w:val="28"/>
        </w:rPr>
        <w:t>(三)给水系统</w:t>
      </w:r>
    </w:p>
    <w:p w14:paraId="0A0D960C">
      <w:pPr>
        <w:pStyle w:val="17"/>
        <w:spacing w:line="580" w:lineRule="exact"/>
        <w:ind w:firstLine="560" w:firstLineChars="200"/>
        <w:textAlignment w:val="baseline"/>
        <w:rPr>
          <w:szCs w:val="28"/>
        </w:rPr>
      </w:pPr>
      <w:r>
        <w:rPr>
          <w:rFonts w:hint="eastAsia"/>
          <w:szCs w:val="28"/>
        </w:rPr>
        <w:t>1、水厂</w:t>
      </w:r>
    </w:p>
    <w:p w14:paraId="038BCD25">
      <w:pPr>
        <w:pStyle w:val="17"/>
        <w:spacing w:line="580" w:lineRule="exact"/>
        <w:ind w:firstLine="560" w:firstLineChars="200"/>
        <w:textAlignment w:val="baseline"/>
        <w:rPr>
          <w:szCs w:val="28"/>
        </w:rPr>
      </w:pPr>
      <w:r>
        <w:rPr>
          <w:rFonts w:hint="eastAsia"/>
          <w:szCs w:val="28"/>
        </w:rPr>
        <w:t>规划陵川县水厂及加压站，位于主城区棋山路的东侧，开元街的北侧。在规划期内，现状水厂供水规模可扩建至3万m</w:t>
      </w:r>
      <w:r>
        <w:rPr>
          <w:rFonts w:hint="eastAsia"/>
          <w:szCs w:val="28"/>
          <w:vertAlign w:val="superscript"/>
        </w:rPr>
        <w:t>3</w:t>
      </w:r>
      <w:r>
        <w:rPr>
          <w:rFonts w:hint="eastAsia"/>
          <w:szCs w:val="28"/>
        </w:rPr>
        <w:t>/d，可以满足城区的用水量。</w:t>
      </w:r>
    </w:p>
    <w:p w14:paraId="11DFADFA">
      <w:pPr>
        <w:pStyle w:val="17"/>
        <w:spacing w:line="580" w:lineRule="exact"/>
        <w:ind w:firstLine="560" w:firstLineChars="200"/>
        <w:textAlignment w:val="baseline"/>
        <w:rPr>
          <w:szCs w:val="28"/>
        </w:rPr>
      </w:pPr>
      <w:r>
        <w:rPr>
          <w:rFonts w:hint="eastAsia"/>
          <w:szCs w:val="28"/>
        </w:rPr>
        <w:t>2、管网</w:t>
      </w:r>
    </w:p>
    <w:p w14:paraId="715375D4">
      <w:pPr>
        <w:pStyle w:val="17"/>
        <w:spacing w:line="580" w:lineRule="exact"/>
        <w:ind w:firstLine="560" w:firstLineChars="200"/>
        <w:textAlignment w:val="baseline"/>
        <w:rPr>
          <w:szCs w:val="28"/>
        </w:rPr>
      </w:pPr>
      <w:r>
        <w:rPr>
          <w:rFonts w:hint="eastAsia"/>
          <w:szCs w:val="28"/>
        </w:rPr>
        <w:t>规划给水管网沿城市规划道路呈环状布置。同时市政给水管网须按间距不大于120m均匀布置消火栓。</w:t>
      </w:r>
    </w:p>
    <w:p w14:paraId="59BE9C25">
      <w:pPr>
        <w:pStyle w:val="38"/>
        <w:numPr>
          <w:ilvl w:val="0"/>
          <w:numId w:val="10"/>
        </w:numPr>
        <w:spacing w:before="0" w:beforeLines="0" w:after="0" w:afterLines="0" w:line="580" w:lineRule="exact"/>
        <w:rPr>
          <w:rFonts w:ascii="黑体" w:hAnsi="黑体"/>
          <w:b/>
        </w:rPr>
      </w:pPr>
      <w:bookmarkStart w:id="59" w:name="_Toc402516193"/>
      <w:bookmarkStart w:id="60" w:name="_Toc528317046"/>
      <w:r>
        <w:rPr>
          <w:rFonts w:hint="eastAsia" w:ascii="黑体" w:hAnsi="黑体"/>
          <w:b/>
        </w:rPr>
        <w:t>污水工程规划</w:t>
      </w:r>
      <w:bookmarkEnd w:id="59"/>
      <w:bookmarkEnd w:id="60"/>
    </w:p>
    <w:p w14:paraId="35C926BB">
      <w:pPr>
        <w:pStyle w:val="17"/>
        <w:spacing w:line="580" w:lineRule="exact"/>
        <w:ind w:firstLine="560" w:firstLineChars="200"/>
        <w:textAlignment w:val="baseline"/>
        <w:rPr>
          <w:szCs w:val="28"/>
        </w:rPr>
      </w:pPr>
      <w:bookmarkStart w:id="61" w:name="_Toc243101022"/>
      <w:r>
        <w:rPr>
          <w:rFonts w:hint="eastAsia"/>
          <w:szCs w:val="28"/>
        </w:rPr>
        <w:t>(一)排水体制</w:t>
      </w:r>
      <w:bookmarkEnd w:id="61"/>
    </w:p>
    <w:p w14:paraId="09B7F71B">
      <w:pPr>
        <w:pStyle w:val="17"/>
        <w:spacing w:line="580" w:lineRule="exact"/>
        <w:ind w:firstLine="560" w:firstLineChars="200"/>
        <w:textAlignment w:val="baseline"/>
        <w:rPr>
          <w:szCs w:val="28"/>
        </w:rPr>
      </w:pPr>
      <w:r>
        <w:rPr>
          <w:rFonts w:hint="eastAsia"/>
          <w:szCs w:val="28"/>
        </w:rPr>
        <w:t>规划陵川县城采用雨、污分流制。</w:t>
      </w:r>
    </w:p>
    <w:p w14:paraId="4FF5832F">
      <w:pPr>
        <w:pStyle w:val="17"/>
        <w:spacing w:line="580" w:lineRule="exact"/>
        <w:ind w:firstLine="560" w:firstLineChars="200"/>
        <w:textAlignment w:val="baseline"/>
        <w:rPr>
          <w:szCs w:val="28"/>
        </w:rPr>
      </w:pPr>
      <w:bookmarkStart w:id="62" w:name="_Toc243101023"/>
      <w:r>
        <w:rPr>
          <w:rFonts w:hint="eastAsia"/>
          <w:szCs w:val="28"/>
        </w:rPr>
        <w:t>(二)污水量估算</w:t>
      </w:r>
      <w:bookmarkEnd w:id="62"/>
    </w:p>
    <w:p w14:paraId="13875949">
      <w:pPr>
        <w:pStyle w:val="17"/>
        <w:spacing w:line="580" w:lineRule="exact"/>
        <w:ind w:firstLine="560" w:firstLineChars="200"/>
        <w:textAlignment w:val="baseline"/>
        <w:rPr>
          <w:szCs w:val="28"/>
        </w:rPr>
      </w:pPr>
      <w:r>
        <w:rPr>
          <w:rFonts w:hint="eastAsia"/>
          <w:szCs w:val="28"/>
        </w:rPr>
        <w:t>1、综合生活污水</w:t>
      </w:r>
    </w:p>
    <w:p w14:paraId="454142C4">
      <w:pPr>
        <w:pStyle w:val="17"/>
        <w:spacing w:line="580" w:lineRule="exact"/>
        <w:ind w:firstLine="560" w:firstLineChars="200"/>
        <w:textAlignment w:val="baseline"/>
        <w:rPr>
          <w:szCs w:val="28"/>
        </w:rPr>
      </w:pPr>
      <w:r>
        <w:rPr>
          <w:rFonts w:hint="eastAsia"/>
          <w:szCs w:val="28"/>
        </w:rPr>
        <w:t>根据《城市排水工程规划规范》（GB50318—2000）规定，居民综合生活污水排放系数可按当地用水定额的80～90%采用。依照规范，规划居民综合生活污水定额采用160L/人·d。则陵川县城综合生活污水量为</w:t>
      </w:r>
      <w:r>
        <w:rPr>
          <w:szCs w:val="28"/>
        </w:rPr>
        <w:t>1</w:t>
      </w:r>
      <w:r>
        <w:rPr>
          <w:rFonts w:hint="eastAsia"/>
          <w:szCs w:val="28"/>
        </w:rPr>
        <w:t>.58万m</w:t>
      </w:r>
      <w:r>
        <w:rPr>
          <w:rFonts w:hint="eastAsia"/>
          <w:szCs w:val="28"/>
          <w:vertAlign w:val="superscript"/>
        </w:rPr>
        <w:t>3</w:t>
      </w:r>
      <w:r>
        <w:rPr>
          <w:rFonts w:hint="eastAsia"/>
          <w:szCs w:val="28"/>
        </w:rPr>
        <w:t>/d。</w:t>
      </w:r>
    </w:p>
    <w:p w14:paraId="601A948E">
      <w:pPr>
        <w:pStyle w:val="17"/>
        <w:spacing w:line="580" w:lineRule="exact"/>
        <w:ind w:firstLine="560" w:firstLineChars="200"/>
        <w:textAlignment w:val="baseline"/>
        <w:rPr>
          <w:szCs w:val="28"/>
        </w:rPr>
      </w:pPr>
      <w:r>
        <w:rPr>
          <w:rFonts w:hint="eastAsia"/>
          <w:szCs w:val="28"/>
        </w:rPr>
        <w:t>2、未预见污水量</w:t>
      </w:r>
    </w:p>
    <w:p w14:paraId="7508A26C">
      <w:pPr>
        <w:pStyle w:val="17"/>
        <w:spacing w:line="580" w:lineRule="exact"/>
        <w:ind w:firstLine="560" w:firstLineChars="200"/>
        <w:textAlignment w:val="baseline"/>
        <w:rPr>
          <w:szCs w:val="28"/>
        </w:rPr>
      </w:pPr>
      <w:r>
        <w:rPr>
          <w:rFonts w:hint="eastAsia"/>
          <w:szCs w:val="28"/>
        </w:rPr>
        <w:t>未预见污水量按10%计，则未预见污水量为0.</w:t>
      </w:r>
      <w:r>
        <w:rPr>
          <w:szCs w:val="28"/>
        </w:rPr>
        <w:t>1</w:t>
      </w:r>
      <w:r>
        <w:rPr>
          <w:rFonts w:hint="eastAsia"/>
          <w:szCs w:val="28"/>
        </w:rPr>
        <w:t>6万m</w:t>
      </w:r>
      <w:r>
        <w:rPr>
          <w:rFonts w:hint="eastAsia"/>
          <w:szCs w:val="28"/>
          <w:vertAlign w:val="superscript"/>
        </w:rPr>
        <w:t>3</w:t>
      </w:r>
      <w:r>
        <w:rPr>
          <w:rFonts w:hint="eastAsia"/>
          <w:szCs w:val="28"/>
        </w:rPr>
        <w:t>/d。</w:t>
      </w:r>
    </w:p>
    <w:p w14:paraId="0BC57FA3">
      <w:pPr>
        <w:pStyle w:val="17"/>
        <w:spacing w:line="580" w:lineRule="exact"/>
        <w:ind w:firstLine="560" w:firstLineChars="200"/>
        <w:textAlignment w:val="baseline"/>
        <w:rPr>
          <w:szCs w:val="28"/>
        </w:rPr>
      </w:pPr>
      <w:r>
        <w:rPr>
          <w:rFonts w:hint="eastAsia"/>
          <w:szCs w:val="28"/>
        </w:rPr>
        <w:t>3、总污水量</w:t>
      </w:r>
    </w:p>
    <w:p w14:paraId="4A5CF743">
      <w:pPr>
        <w:pStyle w:val="17"/>
        <w:spacing w:line="580" w:lineRule="exact"/>
        <w:ind w:firstLine="560" w:firstLineChars="200"/>
        <w:textAlignment w:val="baseline"/>
        <w:rPr>
          <w:szCs w:val="28"/>
        </w:rPr>
      </w:pPr>
      <w:r>
        <w:rPr>
          <w:rFonts w:hint="eastAsia"/>
          <w:szCs w:val="28"/>
        </w:rPr>
        <w:t>陵川县城平均日污水总量为前述项之和，为</w:t>
      </w:r>
      <w:r>
        <w:rPr>
          <w:szCs w:val="28"/>
        </w:rPr>
        <w:t>1.7</w:t>
      </w:r>
      <w:r>
        <w:rPr>
          <w:rFonts w:hint="eastAsia"/>
          <w:szCs w:val="28"/>
        </w:rPr>
        <w:t>4万m</w:t>
      </w:r>
      <w:r>
        <w:rPr>
          <w:rFonts w:hint="eastAsia"/>
          <w:szCs w:val="28"/>
          <w:vertAlign w:val="superscript"/>
        </w:rPr>
        <w:t>3</w:t>
      </w:r>
      <w:r>
        <w:rPr>
          <w:rFonts w:hint="eastAsia"/>
          <w:szCs w:val="28"/>
        </w:rPr>
        <w:t>/d。</w:t>
      </w:r>
    </w:p>
    <w:p w14:paraId="7F1EA936">
      <w:pPr>
        <w:pStyle w:val="17"/>
        <w:spacing w:line="580" w:lineRule="exact"/>
        <w:ind w:firstLine="560" w:firstLineChars="200"/>
        <w:textAlignment w:val="baseline"/>
        <w:rPr>
          <w:szCs w:val="28"/>
        </w:rPr>
      </w:pPr>
      <w:bookmarkStart w:id="63" w:name="_Toc243101024"/>
      <w:r>
        <w:rPr>
          <w:rFonts w:hint="eastAsia"/>
          <w:szCs w:val="28"/>
        </w:rPr>
        <w:t>(三)排水分区</w:t>
      </w:r>
    </w:p>
    <w:p w14:paraId="652B0C18">
      <w:pPr>
        <w:pStyle w:val="17"/>
        <w:spacing w:line="580" w:lineRule="exact"/>
        <w:ind w:firstLine="560" w:firstLineChars="200"/>
        <w:textAlignment w:val="baseline"/>
        <w:rPr>
          <w:szCs w:val="28"/>
        </w:rPr>
      </w:pPr>
      <w:r>
        <w:rPr>
          <w:rFonts w:hint="eastAsia"/>
          <w:szCs w:val="28"/>
        </w:rPr>
        <w:t>根据陵川县城的地形特点及建设用地分布情况，陵川县城分为两个排水分区。</w:t>
      </w:r>
    </w:p>
    <w:p w14:paraId="72C9CE93">
      <w:pPr>
        <w:pStyle w:val="17"/>
        <w:spacing w:line="580" w:lineRule="exact"/>
        <w:ind w:firstLine="560" w:firstLineChars="200"/>
        <w:textAlignment w:val="baseline"/>
        <w:rPr>
          <w:szCs w:val="28"/>
        </w:rPr>
      </w:pPr>
      <w:r>
        <w:rPr>
          <w:rFonts w:hint="eastAsia"/>
          <w:szCs w:val="28"/>
        </w:rPr>
        <w:t>本次规划旧城改造地块污水，经污水支管收集后沿梅园街主干管排入陵川县污水处理厂处理。城南新区地块污水，东北部污水经污水支管收集后沿主干管排入陵川县污水处理厂处理；近期南部污水经污水支管收集后汇入南部污水泵站，经泵站加压排入明德街现状污水管线，排入陵川县污水处理厂处理，远期经污水支管收集后沿清阳路主干管排入南川县污水处理厂处理。</w:t>
      </w:r>
    </w:p>
    <w:p w14:paraId="2A6E9E0E">
      <w:pPr>
        <w:pStyle w:val="17"/>
        <w:spacing w:line="580" w:lineRule="exact"/>
        <w:ind w:firstLine="560" w:firstLineChars="200"/>
        <w:textAlignment w:val="baseline"/>
        <w:rPr>
          <w:szCs w:val="28"/>
        </w:rPr>
      </w:pPr>
      <w:r>
        <w:rPr>
          <w:rFonts w:hint="eastAsia"/>
          <w:szCs w:val="28"/>
        </w:rPr>
        <w:t>(四)场站规划</w:t>
      </w:r>
    </w:p>
    <w:p w14:paraId="4F64F3CB">
      <w:pPr>
        <w:pStyle w:val="17"/>
        <w:spacing w:line="580" w:lineRule="exact"/>
        <w:ind w:firstLine="560" w:firstLineChars="200"/>
        <w:textAlignment w:val="baseline"/>
        <w:rPr>
          <w:szCs w:val="28"/>
        </w:rPr>
      </w:pPr>
      <w:r>
        <w:rPr>
          <w:rFonts w:hint="eastAsia"/>
          <w:szCs w:val="28"/>
        </w:rPr>
        <w:t>规划县城共设2个污水处理厂，处理能力为2.2万m</w:t>
      </w:r>
      <w:r>
        <w:rPr>
          <w:rFonts w:hint="eastAsia"/>
          <w:szCs w:val="28"/>
          <w:vertAlign w:val="superscript"/>
        </w:rPr>
        <w:t>3</w:t>
      </w:r>
      <w:r>
        <w:rPr>
          <w:rFonts w:hint="eastAsia"/>
          <w:szCs w:val="28"/>
        </w:rPr>
        <w:t>/日，规划要求所有污水处理厂处理深度不低于二级，回用水须进行三级处理，污水处理厂污水排放须符合《城镇污水处理厂污染物排放标准》（GB18918-2002）规定。污水处理后</w:t>
      </w:r>
      <w:r>
        <w:rPr>
          <w:rFonts w:hint="eastAsia"/>
          <w:szCs w:val="28"/>
          <w:lang w:eastAsia="zh-CN"/>
        </w:rPr>
        <w:t>作为</w:t>
      </w:r>
      <w:r>
        <w:rPr>
          <w:rFonts w:hint="eastAsia"/>
          <w:szCs w:val="28"/>
        </w:rPr>
        <w:t>城市生态绿地、景观水体等用水。保留陵川县污水处理厂，处理规模达到1.2万m</w:t>
      </w:r>
      <w:r>
        <w:rPr>
          <w:rFonts w:hint="eastAsia"/>
          <w:szCs w:val="28"/>
          <w:vertAlign w:val="superscript"/>
        </w:rPr>
        <w:t>3</w:t>
      </w:r>
      <w:r>
        <w:rPr>
          <w:rFonts w:hint="eastAsia"/>
          <w:szCs w:val="28"/>
        </w:rPr>
        <w:t>/日；由于南岭相隔，南岭以西的污水排入规划的南川污水处理厂，规划的南川污水处理厂位于高速路以南，南川村附近，该污水处理厂处理规模为1万m</w:t>
      </w:r>
      <w:r>
        <w:rPr>
          <w:rFonts w:hint="eastAsia"/>
          <w:szCs w:val="28"/>
          <w:vertAlign w:val="superscript"/>
        </w:rPr>
        <w:t>3</w:t>
      </w:r>
      <w:r>
        <w:rPr>
          <w:rFonts w:hint="eastAsia"/>
          <w:szCs w:val="28"/>
        </w:rPr>
        <w:t>/日。</w:t>
      </w:r>
    </w:p>
    <w:p w14:paraId="069DFDE9">
      <w:pPr>
        <w:spacing w:line="580" w:lineRule="exact"/>
        <w:jc w:val="center"/>
        <w:rPr>
          <w:rFonts w:ascii="宋体" w:hAnsi="宋体"/>
          <w:b/>
          <w:sz w:val="28"/>
          <w:szCs w:val="28"/>
        </w:rPr>
      </w:pPr>
      <w:r>
        <w:rPr>
          <w:rFonts w:hint="eastAsia" w:ascii="宋体" w:hAnsi="宋体"/>
          <w:b/>
          <w:sz w:val="28"/>
          <w:szCs w:val="28"/>
        </w:rPr>
        <w:t>表11  规划城市污水处理厂一览表</w:t>
      </w:r>
    </w:p>
    <w:tbl>
      <w:tblPr>
        <w:tblStyle w:val="21"/>
        <w:tblW w:w="0" w:type="auto"/>
        <w:tblInd w:w="534" w:type="dxa"/>
        <w:tblLayout w:type="fixed"/>
        <w:tblCellMar>
          <w:top w:w="15" w:type="dxa"/>
          <w:left w:w="15" w:type="dxa"/>
          <w:bottom w:w="15" w:type="dxa"/>
          <w:right w:w="15" w:type="dxa"/>
        </w:tblCellMar>
      </w:tblPr>
      <w:tblGrid>
        <w:gridCol w:w="2887"/>
        <w:gridCol w:w="1908"/>
        <w:gridCol w:w="2169"/>
        <w:gridCol w:w="1789"/>
      </w:tblGrid>
      <w:tr w14:paraId="2DAD85B6">
        <w:tblPrEx>
          <w:tblCellMar>
            <w:top w:w="15" w:type="dxa"/>
            <w:left w:w="15" w:type="dxa"/>
            <w:bottom w:w="15" w:type="dxa"/>
            <w:right w:w="15" w:type="dxa"/>
          </w:tblCellMar>
        </w:tblPrEx>
        <w:trPr>
          <w:trHeight w:val="497" w:hRule="atLeast"/>
        </w:trPr>
        <w:tc>
          <w:tcPr>
            <w:tcW w:w="2887" w:type="dxa"/>
            <w:tcBorders>
              <w:top w:val="single" w:color="000000" w:sz="2" w:space="0"/>
              <w:left w:val="single" w:color="000000" w:sz="2" w:space="0"/>
              <w:bottom w:val="single" w:color="000000" w:sz="2" w:space="0"/>
              <w:right w:val="single" w:color="000000" w:sz="2" w:space="0"/>
            </w:tcBorders>
            <w:tcMar>
              <w:top w:w="0" w:type="dxa"/>
              <w:left w:w="108" w:type="dxa"/>
              <w:bottom w:w="0" w:type="dxa"/>
              <w:right w:w="108" w:type="dxa"/>
            </w:tcMar>
            <w:vAlign w:val="center"/>
          </w:tcPr>
          <w:p w14:paraId="65DAFE1F">
            <w:pPr>
              <w:pStyle w:val="48"/>
            </w:pPr>
            <w:bookmarkStart w:id="161" w:name="_GoBack"/>
            <w:r>
              <w:rPr>
                <w:rFonts w:hint="eastAsia"/>
              </w:rPr>
              <w:t>污水厂</w:t>
            </w:r>
          </w:p>
        </w:tc>
        <w:tc>
          <w:tcPr>
            <w:tcW w:w="1908" w:type="dxa"/>
            <w:tcBorders>
              <w:top w:val="single" w:color="000000" w:sz="2" w:space="0"/>
              <w:left w:val="nil"/>
              <w:bottom w:val="single" w:color="000000" w:sz="2" w:space="0"/>
              <w:right w:val="single" w:color="000000" w:sz="2" w:space="0"/>
            </w:tcBorders>
            <w:tcMar>
              <w:top w:w="0" w:type="dxa"/>
              <w:left w:w="108" w:type="dxa"/>
              <w:bottom w:w="0" w:type="dxa"/>
              <w:right w:w="108" w:type="dxa"/>
            </w:tcMar>
            <w:vAlign w:val="center"/>
          </w:tcPr>
          <w:p w14:paraId="060DDFC6">
            <w:pPr>
              <w:pStyle w:val="48"/>
            </w:pPr>
            <w:r>
              <w:rPr>
                <w:rFonts w:hint="eastAsia"/>
              </w:rPr>
              <w:t>场站位置</w:t>
            </w:r>
          </w:p>
        </w:tc>
        <w:tc>
          <w:tcPr>
            <w:tcW w:w="2169" w:type="dxa"/>
            <w:tcBorders>
              <w:top w:val="single" w:color="000000" w:sz="2" w:space="0"/>
              <w:left w:val="nil"/>
              <w:bottom w:val="single" w:color="000000" w:sz="2" w:space="0"/>
              <w:right w:val="single" w:color="000000" w:sz="2" w:space="0"/>
            </w:tcBorders>
            <w:tcMar>
              <w:top w:w="0" w:type="dxa"/>
              <w:left w:w="108" w:type="dxa"/>
              <w:bottom w:w="0" w:type="dxa"/>
              <w:right w:w="108" w:type="dxa"/>
            </w:tcMar>
            <w:vAlign w:val="center"/>
          </w:tcPr>
          <w:p w14:paraId="01B2F184">
            <w:pPr>
              <w:pStyle w:val="48"/>
            </w:pPr>
            <w:r>
              <w:rPr>
                <w:rFonts w:hint="eastAsia"/>
              </w:rPr>
              <w:t>设计规模</w:t>
            </w:r>
            <w:r>
              <w:t>(</w:t>
            </w:r>
            <w:r>
              <w:rPr>
                <w:rFonts w:hint="eastAsia"/>
              </w:rPr>
              <w:t>万</w:t>
            </w:r>
            <w:r>
              <w:t>m3/d)</w:t>
            </w:r>
          </w:p>
        </w:tc>
        <w:tc>
          <w:tcPr>
            <w:tcW w:w="1789" w:type="dxa"/>
            <w:tcBorders>
              <w:top w:val="single" w:color="000000" w:sz="2" w:space="0"/>
              <w:left w:val="nil"/>
              <w:bottom w:val="single" w:color="000000" w:sz="2" w:space="0"/>
              <w:right w:val="single" w:color="000000" w:sz="2" w:space="0"/>
            </w:tcBorders>
            <w:tcMar>
              <w:top w:w="0" w:type="dxa"/>
              <w:left w:w="108" w:type="dxa"/>
              <w:bottom w:w="0" w:type="dxa"/>
              <w:right w:w="108" w:type="dxa"/>
            </w:tcMar>
            <w:vAlign w:val="center"/>
          </w:tcPr>
          <w:p w14:paraId="4D1AABCB">
            <w:pPr>
              <w:pStyle w:val="48"/>
            </w:pPr>
            <w:r>
              <w:rPr>
                <w:rFonts w:hint="eastAsia"/>
              </w:rPr>
              <w:t>备注</w:t>
            </w:r>
          </w:p>
        </w:tc>
      </w:tr>
      <w:bookmarkEnd w:id="161"/>
      <w:tr w14:paraId="79E4EA53">
        <w:tblPrEx>
          <w:tblCellMar>
            <w:top w:w="15" w:type="dxa"/>
            <w:left w:w="15" w:type="dxa"/>
            <w:bottom w:w="15" w:type="dxa"/>
            <w:right w:w="15" w:type="dxa"/>
          </w:tblCellMar>
        </w:tblPrEx>
        <w:trPr>
          <w:trHeight w:val="397" w:hRule="atLeast"/>
        </w:trPr>
        <w:tc>
          <w:tcPr>
            <w:tcW w:w="2887" w:type="dxa"/>
            <w:tcBorders>
              <w:top w:val="nil"/>
              <w:left w:val="single" w:color="000000" w:sz="2" w:space="0"/>
              <w:bottom w:val="single" w:color="000000" w:sz="2" w:space="0"/>
              <w:right w:val="single" w:color="000000" w:sz="2" w:space="0"/>
            </w:tcBorders>
            <w:tcMar>
              <w:top w:w="0" w:type="dxa"/>
              <w:left w:w="108" w:type="dxa"/>
              <w:bottom w:w="0" w:type="dxa"/>
              <w:right w:w="108" w:type="dxa"/>
            </w:tcMar>
            <w:vAlign w:val="center"/>
          </w:tcPr>
          <w:p w14:paraId="4CEF6C33">
            <w:pPr>
              <w:pStyle w:val="48"/>
            </w:pPr>
            <w:r>
              <w:rPr>
                <w:rFonts w:hint="eastAsia"/>
              </w:rPr>
              <w:t>陵川县污水处理厂</w:t>
            </w:r>
          </w:p>
        </w:tc>
        <w:tc>
          <w:tcPr>
            <w:tcW w:w="1908" w:type="dxa"/>
            <w:tcBorders>
              <w:top w:val="nil"/>
              <w:left w:val="nil"/>
              <w:bottom w:val="single" w:color="000000" w:sz="2" w:space="0"/>
              <w:right w:val="single" w:color="000000" w:sz="2" w:space="0"/>
            </w:tcBorders>
            <w:tcMar>
              <w:top w:w="0" w:type="dxa"/>
              <w:left w:w="108" w:type="dxa"/>
              <w:bottom w:w="0" w:type="dxa"/>
              <w:right w:w="108" w:type="dxa"/>
            </w:tcMar>
            <w:vAlign w:val="center"/>
          </w:tcPr>
          <w:p w14:paraId="18E376B9">
            <w:pPr>
              <w:pStyle w:val="48"/>
            </w:pPr>
            <w:r>
              <w:rPr>
                <w:rFonts w:hint="eastAsia"/>
              </w:rPr>
              <w:t>张门前村</w:t>
            </w:r>
          </w:p>
        </w:tc>
        <w:tc>
          <w:tcPr>
            <w:tcW w:w="2169" w:type="dxa"/>
            <w:tcBorders>
              <w:top w:val="nil"/>
              <w:left w:val="nil"/>
              <w:bottom w:val="single" w:color="000000" w:sz="2" w:space="0"/>
              <w:right w:val="single" w:color="000000" w:sz="2" w:space="0"/>
            </w:tcBorders>
            <w:tcMar>
              <w:top w:w="0" w:type="dxa"/>
              <w:left w:w="108" w:type="dxa"/>
              <w:bottom w:w="0" w:type="dxa"/>
              <w:right w:w="108" w:type="dxa"/>
            </w:tcMar>
            <w:vAlign w:val="center"/>
          </w:tcPr>
          <w:p w14:paraId="004F6D31">
            <w:pPr>
              <w:pStyle w:val="48"/>
            </w:pPr>
            <w:r>
              <w:rPr>
                <w:rFonts w:hint="eastAsia"/>
              </w:rPr>
              <w:t>1.2</w:t>
            </w:r>
          </w:p>
        </w:tc>
        <w:tc>
          <w:tcPr>
            <w:tcW w:w="1789" w:type="dxa"/>
            <w:tcBorders>
              <w:top w:val="nil"/>
              <w:left w:val="nil"/>
              <w:bottom w:val="single" w:color="000000" w:sz="2" w:space="0"/>
              <w:right w:val="single" w:color="000000" w:sz="2" w:space="0"/>
            </w:tcBorders>
            <w:tcMar>
              <w:top w:w="0" w:type="dxa"/>
              <w:left w:w="108" w:type="dxa"/>
              <w:bottom w:w="0" w:type="dxa"/>
              <w:right w:w="108" w:type="dxa"/>
            </w:tcMar>
            <w:vAlign w:val="center"/>
          </w:tcPr>
          <w:p w14:paraId="748C2E8F">
            <w:pPr>
              <w:pStyle w:val="48"/>
            </w:pPr>
            <w:r>
              <w:rPr>
                <w:rFonts w:hint="eastAsia"/>
              </w:rPr>
              <w:t>保留</w:t>
            </w:r>
          </w:p>
        </w:tc>
      </w:tr>
      <w:tr w14:paraId="5115D290">
        <w:tblPrEx>
          <w:tblCellMar>
            <w:top w:w="15" w:type="dxa"/>
            <w:left w:w="15" w:type="dxa"/>
            <w:bottom w:w="15" w:type="dxa"/>
            <w:right w:w="15" w:type="dxa"/>
          </w:tblCellMar>
        </w:tblPrEx>
        <w:trPr>
          <w:trHeight w:val="397" w:hRule="atLeast"/>
        </w:trPr>
        <w:tc>
          <w:tcPr>
            <w:tcW w:w="2887" w:type="dxa"/>
            <w:tcBorders>
              <w:top w:val="nil"/>
              <w:left w:val="single" w:color="000000" w:sz="2" w:space="0"/>
              <w:bottom w:val="single" w:color="000000" w:sz="2" w:space="0"/>
              <w:right w:val="single" w:color="000000" w:sz="2" w:space="0"/>
            </w:tcBorders>
            <w:tcMar>
              <w:top w:w="0" w:type="dxa"/>
              <w:left w:w="108" w:type="dxa"/>
              <w:bottom w:w="0" w:type="dxa"/>
              <w:right w:w="108" w:type="dxa"/>
            </w:tcMar>
            <w:vAlign w:val="center"/>
          </w:tcPr>
          <w:p w14:paraId="045CDC04">
            <w:pPr>
              <w:pStyle w:val="48"/>
            </w:pPr>
            <w:r>
              <w:rPr>
                <w:rFonts w:hint="eastAsia"/>
              </w:rPr>
              <w:t>南川污水处理厂</w:t>
            </w:r>
          </w:p>
        </w:tc>
        <w:tc>
          <w:tcPr>
            <w:tcW w:w="1908" w:type="dxa"/>
            <w:tcBorders>
              <w:top w:val="nil"/>
              <w:left w:val="nil"/>
              <w:bottom w:val="single" w:color="000000" w:sz="2" w:space="0"/>
              <w:right w:val="single" w:color="000000" w:sz="2" w:space="0"/>
            </w:tcBorders>
            <w:tcMar>
              <w:top w:w="0" w:type="dxa"/>
              <w:left w:w="108" w:type="dxa"/>
              <w:bottom w:w="0" w:type="dxa"/>
              <w:right w:w="108" w:type="dxa"/>
            </w:tcMar>
            <w:vAlign w:val="center"/>
          </w:tcPr>
          <w:p w14:paraId="71E9C99A">
            <w:pPr>
              <w:pStyle w:val="48"/>
            </w:pPr>
            <w:r>
              <w:rPr>
                <w:rFonts w:hint="eastAsia"/>
              </w:rPr>
              <w:t>南川村</w:t>
            </w:r>
          </w:p>
        </w:tc>
        <w:tc>
          <w:tcPr>
            <w:tcW w:w="2169" w:type="dxa"/>
            <w:tcBorders>
              <w:top w:val="nil"/>
              <w:left w:val="nil"/>
              <w:bottom w:val="single" w:color="000000" w:sz="2" w:space="0"/>
              <w:right w:val="single" w:color="000000" w:sz="2" w:space="0"/>
            </w:tcBorders>
            <w:tcMar>
              <w:top w:w="0" w:type="dxa"/>
              <w:left w:w="108" w:type="dxa"/>
              <w:bottom w:w="0" w:type="dxa"/>
              <w:right w:w="108" w:type="dxa"/>
            </w:tcMar>
            <w:vAlign w:val="center"/>
          </w:tcPr>
          <w:p w14:paraId="44C37C3D">
            <w:pPr>
              <w:pStyle w:val="48"/>
            </w:pPr>
            <w:r>
              <w:rPr>
                <w:rFonts w:hint="eastAsia"/>
              </w:rPr>
              <w:t>1</w:t>
            </w:r>
          </w:p>
        </w:tc>
        <w:tc>
          <w:tcPr>
            <w:tcW w:w="1789" w:type="dxa"/>
            <w:tcBorders>
              <w:top w:val="nil"/>
              <w:left w:val="nil"/>
              <w:bottom w:val="single" w:color="000000" w:sz="2" w:space="0"/>
              <w:right w:val="single" w:color="000000" w:sz="2" w:space="0"/>
            </w:tcBorders>
            <w:tcMar>
              <w:top w:w="0" w:type="dxa"/>
              <w:left w:w="108" w:type="dxa"/>
              <w:bottom w:w="0" w:type="dxa"/>
              <w:right w:w="108" w:type="dxa"/>
            </w:tcMar>
            <w:vAlign w:val="center"/>
          </w:tcPr>
          <w:p w14:paraId="1954A2B2">
            <w:pPr>
              <w:pStyle w:val="48"/>
            </w:pPr>
            <w:r>
              <w:rPr>
                <w:rFonts w:hint="eastAsia"/>
              </w:rPr>
              <w:t>新建</w:t>
            </w:r>
          </w:p>
        </w:tc>
      </w:tr>
    </w:tbl>
    <w:p w14:paraId="2638C432">
      <w:pPr>
        <w:pStyle w:val="17"/>
        <w:spacing w:line="580" w:lineRule="exact"/>
        <w:ind w:firstLine="560" w:firstLineChars="200"/>
        <w:textAlignment w:val="baseline"/>
        <w:rPr>
          <w:szCs w:val="28"/>
        </w:rPr>
      </w:pPr>
      <w:r>
        <w:rPr>
          <w:rFonts w:hint="eastAsia"/>
          <w:szCs w:val="28"/>
        </w:rPr>
        <w:t>规划保留现状设置的二处污水泵站。</w:t>
      </w:r>
    </w:p>
    <w:p w14:paraId="4C1FD3AD">
      <w:pPr>
        <w:pStyle w:val="17"/>
        <w:spacing w:line="580" w:lineRule="exact"/>
        <w:ind w:firstLine="560" w:firstLineChars="200"/>
        <w:textAlignment w:val="baseline"/>
        <w:rPr>
          <w:szCs w:val="28"/>
        </w:rPr>
      </w:pPr>
      <w:r>
        <w:rPr>
          <w:rFonts w:hint="eastAsia"/>
          <w:szCs w:val="28"/>
        </w:rPr>
        <w:t>(五)管道规划</w:t>
      </w:r>
      <w:bookmarkEnd w:id="63"/>
      <w:r>
        <w:rPr>
          <w:rFonts w:hint="eastAsia"/>
          <w:szCs w:val="28"/>
        </w:rPr>
        <w:t xml:space="preserve"> </w:t>
      </w:r>
    </w:p>
    <w:p w14:paraId="5637214B">
      <w:pPr>
        <w:pStyle w:val="17"/>
        <w:spacing w:line="580" w:lineRule="exact"/>
        <w:ind w:firstLine="560" w:firstLineChars="200"/>
        <w:textAlignment w:val="baseline"/>
        <w:rPr>
          <w:szCs w:val="28"/>
        </w:rPr>
      </w:pPr>
      <w:r>
        <w:rPr>
          <w:rFonts w:hint="eastAsia"/>
          <w:szCs w:val="28"/>
        </w:rPr>
        <w:t>规划污水管沿规划城市道路布置，片区内污水经管网集中收集后，最终排入各分区污水处理厂。规划污水管道主要采用钢筋混凝土圆管，最小管径300mm。</w:t>
      </w:r>
    </w:p>
    <w:p w14:paraId="3BE1793E">
      <w:pPr>
        <w:pStyle w:val="38"/>
        <w:numPr>
          <w:ilvl w:val="0"/>
          <w:numId w:val="10"/>
        </w:numPr>
        <w:spacing w:before="0" w:beforeLines="0" w:after="0" w:afterLines="0" w:line="580" w:lineRule="exact"/>
        <w:rPr>
          <w:rFonts w:ascii="黑体" w:hAnsi="黑体"/>
          <w:b/>
        </w:rPr>
      </w:pPr>
      <w:bookmarkStart w:id="64" w:name="_Toc402516194"/>
      <w:bookmarkStart w:id="65" w:name="_Toc528317047"/>
      <w:r>
        <w:rPr>
          <w:rFonts w:hint="eastAsia" w:ascii="黑体" w:hAnsi="黑体"/>
          <w:b/>
        </w:rPr>
        <w:t>雨水工程规划</w:t>
      </w:r>
      <w:bookmarkEnd w:id="64"/>
      <w:bookmarkEnd w:id="65"/>
    </w:p>
    <w:p w14:paraId="27C929A2">
      <w:pPr>
        <w:pStyle w:val="17"/>
        <w:spacing w:line="580" w:lineRule="exact"/>
        <w:ind w:firstLine="560" w:firstLineChars="200"/>
        <w:textAlignment w:val="baseline"/>
        <w:rPr>
          <w:szCs w:val="28"/>
        </w:rPr>
      </w:pPr>
      <w:r>
        <w:rPr>
          <w:rFonts w:hint="eastAsia"/>
          <w:szCs w:val="28"/>
        </w:rPr>
        <w:t>陵川县城地形总体表现为北高南抵，西高东低。雨水原则以重力流排放为主，用管渠收集后就近排入羊河、红河。</w:t>
      </w:r>
    </w:p>
    <w:p w14:paraId="133BF1D8">
      <w:pPr>
        <w:pStyle w:val="17"/>
        <w:spacing w:line="580" w:lineRule="exact"/>
        <w:ind w:firstLine="560" w:firstLineChars="200"/>
        <w:textAlignment w:val="baseline"/>
        <w:rPr>
          <w:szCs w:val="28"/>
        </w:rPr>
      </w:pPr>
      <w:bookmarkStart w:id="66" w:name="_Toc243101026"/>
      <w:r>
        <w:rPr>
          <w:rFonts w:hint="eastAsia"/>
          <w:szCs w:val="28"/>
        </w:rPr>
        <w:t>(一)设计公式及参数确定</w:t>
      </w:r>
      <w:bookmarkEnd w:id="66"/>
    </w:p>
    <w:p w14:paraId="474C97D6">
      <w:pPr>
        <w:pStyle w:val="17"/>
        <w:spacing w:line="580" w:lineRule="exact"/>
        <w:ind w:firstLine="560" w:firstLineChars="200"/>
        <w:textAlignment w:val="baseline"/>
        <w:rPr>
          <w:szCs w:val="28"/>
        </w:rPr>
      </w:pPr>
      <w:r>
        <w:rPr>
          <w:rFonts w:hint="eastAsia"/>
          <w:szCs w:val="28"/>
        </w:rPr>
        <w:t>1、降雨强度公式</w:t>
      </w:r>
    </w:p>
    <w:p w14:paraId="18EBCE77">
      <w:pPr>
        <w:pStyle w:val="17"/>
        <w:spacing w:line="580" w:lineRule="exact"/>
        <w:ind w:firstLine="560" w:firstLineChars="200"/>
        <w:textAlignment w:val="baseline"/>
        <w:rPr>
          <w:szCs w:val="28"/>
        </w:rPr>
      </w:pPr>
      <w:r>
        <w:rPr>
          <w:rFonts w:hint="eastAsia"/>
          <w:szCs w:val="28"/>
        </w:rPr>
        <w:t>规划采用如下暴雨强度公式：</w:t>
      </w:r>
    </w:p>
    <w:p w14:paraId="46585F40">
      <w:pPr>
        <w:pStyle w:val="17"/>
        <w:spacing w:line="580" w:lineRule="exact"/>
        <w:ind w:firstLine="560" w:firstLineChars="200"/>
        <w:textAlignment w:val="baseline"/>
        <w:rPr>
          <w:szCs w:val="28"/>
        </w:rPr>
      </w:pPr>
      <w:r>
        <w:rPr>
          <w:szCs w:val="28"/>
        </w:rPr>
        <w:pict>
          <v:shape id="_x0000_s1275" o:spid="_x0000_s1275" o:spt="75" type="#_x0000_t75" style="position:absolute;left:0pt;margin-left:148.5pt;margin-top:0.6pt;height:32.85pt;width:112.45pt;z-index:251683840;mso-width-relative:page;mso-height-relative:page;" o:ole="t" filled="f" o:preferrelative="t" stroked="f" coordsize="21600,21600">
            <v:path/>
            <v:fill on="f" focussize="0,0"/>
            <v:stroke on="f" joinstyle="miter"/>
            <v:imagedata r:id="rId29" o:title=""/>
            <o:lock v:ext="edit" aspectratio="f"/>
          </v:shape>
          <o:OLEObject Type="Embed" ProgID="Equation.3" ShapeID="_x0000_s1275" DrawAspect="Content" ObjectID="_1468075725" r:id="rId28">
            <o:LockedField>false</o:LockedField>
          </o:OLEObject>
        </w:pict>
      </w:r>
    </w:p>
    <w:p w14:paraId="08D9B06A">
      <w:pPr>
        <w:pStyle w:val="17"/>
        <w:spacing w:line="552" w:lineRule="exact"/>
        <w:ind w:firstLine="560" w:firstLineChars="200"/>
        <w:textAlignment w:val="baseline"/>
        <w:rPr>
          <w:szCs w:val="28"/>
        </w:rPr>
      </w:pPr>
      <w:r>
        <w:rPr>
          <w:rFonts w:hint="eastAsia"/>
          <w:szCs w:val="28"/>
        </w:rPr>
        <w:t xml:space="preserve">式中： </w:t>
      </w:r>
    </w:p>
    <w:p w14:paraId="0152E10A">
      <w:pPr>
        <w:pStyle w:val="17"/>
        <w:spacing w:line="552" w:lineRule="exact"/>
        <w:ind w:firstLine="560" w:firstLineChars="200"/>
        <w:textAlignment w:val="baseline"/>
        <w:rPr>
          <w:szCs w:val="28"/>
        </w:rPr>
      </w:pPr>
      <w:r>
        <w:rPr>
          <w:rFonts w:hint="eastAsia"/>
          <w:szCs w:val="28"/>
        </w:rPr>
        <w:t>q——设计降雨强度，L/s·hm</w:t>
      </w:r>
      <w:r>
        <w:rPr>
          <w:rFonts w:hint="eastAsia"/>
          <w:szCs w:val="28"/>
          <w:vertAlign w:val="superscript"/>
        </w:rPr>
        <w:t>2</w:t>
      </w:r>
    </w:p>
    <w:p w14:paraId="42E29FE1">
      <w:pPr>
        <w:pStyle w:val="17"/>
        <w:spacing w:line="552" w:lineRule="exact"/>
        <w:ind w:firstLine="560" w:firstLineChars="200"/>
        <w:textAlignment w:val="baseline"/>
        <w:rPr>
          <w:szCs w:val="28"/>
        </w:rPr>
      </w:pPr>
      <w:r>
        <w:rPr>
          <w:rFonts w:hint="eastAsia"/>
          <w:szCs w:val="28"/>
        </w:rPr>
        <w:t>T——设计降雨重现期，a</w:t>
      </w:r>
    </w:p>
    <w:p w14:paraId="1619B58F">
      <w:pPr>
        <w:pStyle w:val="17"/>
        <w:spacing w:line="552" w:lineRule="exact"/>
        <w:ind w:firstLine="560" w:firstLineChars="200"/>
        <w:textAlignment w:val="baseline"/>
        <w:rPr>
          <w:szCs w:val="28"/>
        </w:rPr>
      </w:pPr>
      <w:r>
        <w:rPr>
          <w:rFonts w:hint="eastAsia"/>
          <w:szCs w:val="28"/>
        </w:rPr>
        <w:t>t</w:t>
      </w:r>
      <w:r>
        <w:rPr>
          <w:rFonts w:hint="eastAsia"/>
          <w:szCs w:val="28"/>
          <w:vertAlign w:val="subscript"/>
        </w:rPr>
        <w:t>1</w:t>
      </w:r>
      <w:r>
        <w:rPr>
          <w:rFonts w:hint="eastAsia"/>
          <w:szCs w:val="28"/>
        </w:rPr>
        <w:t>——地面集水时间，min</w:t>
      </w:r>
    </w:p>
    <w:p w14:paraId="2B90FF8B">
      <w:pPr>
        <w:pStyle w:val="17"/>
        <w:spacing w:line="552" w:lineRule="exact"/>
        <w:ind w:firstLine="560" w:firstLineChars="200"/>
        <w:textAlignment w:val="baseline"/>
        <w:rPr>
          <w:szCs w:val="28"/>
        </w:rPr>
      </w:pPr>
      <w:r>
        <w:rPr>
          <w:rFonts w:hint="eastAsia"/>
          <w:szCs w:val="28"/>
        </w:rPr>
        <w:t>t</w:t>
      </w:r>
      <w:r>
        <w:rPr>
          <w:rFonts w:hint="eastAsia"/>
          <w:szCs w:val="28"/>
          <w:vertAlign w:val="subscript"/>
        </w:rPr>
        <w:t>2</w:t>
      </w:r>
      <w:r>
        <w:rPr>
          <w:rFonts w:hint="eastAsia"/>
          <w:szCs w:val="28"/>
        </w:rPr>
        <w:t>——管内雨水流行时间，min</w:t>
      </w:r>
    </w:p>
    <w:p w14:paraId="09ABDC9D">
      <w:pPr>
        <w:pStyle w:val="17"/>
        <w:spacing w:line="552" w:lineRule="exact"/>
        <w:ind w:firstLine="560" w:firstLineChars="200"/>
        <w:textAlignment w:val="baseline"/>
        <w:rPr>
          <w:szCs w:val="28"/>
        </w:rPr>
      </w:pPr>
      <w:r>
        <w:rPr>
          <w:rFonts w:hint="eastAsia"/>
          <w:szCs w:val="28"/>
        </w:rPr>
        <w:t>2、流量计算公式</w:t>
      </w:r>
    </w:p>
    <w:p w14:paraId="51BC69C4">
      <w:pPr>
        <w:pStyle w:val="17"/>
        <w:spacing w:line="552" w:lineRule="exact"/>
        <w:ind w:firstLine="560" w:firstLineChars="200"/>
        <w:textAlignment w:val="baseline"/>
        <w:rPr>
          <w:szCs w:val="28"/>
        </w:rPr>
      </w:pPr>
      <w:r>
        <w:rPr>
          <w:rFonts w:hint="eastAsia"/>
          <w:szCs w:val="28"/>
        </w:rPr>
        <w:t>Qy=ψqF</w:t>
      </w:r>
    </w:p>
    <w:p w14:paraId="39D558AB">
      <w:pPr>
        <w:pStyle w:val="17"/>
        <w:spacing w:line="552" w:lineRule="exact"/>
        <w:ind w:firstLine="560" w:firstLineChars="200"/>
        <w:textAlignment w:val="baseline"/>
        <w:rPr>
          <w:szCs w:val="28"/>
        </w:rPr>
      </w:pPr>
      <w:r>
        <w:rPr>
          <w:rFonts w:hint="eastAsia"/>
          <w:szCs w:val="28"/>
        </w:rPr>
        <w:t>式中：</w:t>
      </w:r>
    </w:p>
    <w:p w14:paraId="4E80FF4B">
      <w:pPr>
        <w:pStyle w:val="17"/>
        <w:spacing w:line="552" w:lineRule="exact"/>
        <w:ind w:firstLine="560" w:firstLineChars="200"/>
        <w:textAlignment w:val="baseline"/>
        <w:rPr>
          <w:szCs w:val="28"/>
        </w:rPr>
      </w:pPr>
      <w:r>
        <w:rPr>
          <w:rFonts w:hint="eastAsia"/>
          <w:szCs w:val="28"/>
        </w:rPr>
        <w:t>Qy——雨水设计流量，L/s</w:t>
      </w:r>
    </w:p>
    <w:p w14:paraId="3D535F4F">
      <w:pPr>
        <w:pStyle w:val="17"/>
        <w:spacing w:line="552" w:lineRule="exact"/>
        <w:ind w:firstLine="560" w:firstLineChars="200"/>
        <w:textAlignment w:val="baseline"/>
        <w:rPr>
          <w:szCs w:val="28"/>
        </w:rPr>
      </w:pPr>
      <w:r>
        <w:rPr>
          <w:rFonts w:hint="eastAsia"/>
          <w:szCs w:val="28"/>
        </w:rPr>
        <w:t>ψ——径流系数</w:t>
      </w:r>
    </w:p>
    <w:p w14:paraId="45809FC3">
      <w:pPr>
        <w:pStyle w:val="17"/>
        <w:spacing w:line="552" w:lineRule="exact"/>
        <w:ind w:firstLine="560" w:firstLineChars="200"/>
        <w:textAlignment w:val="baseline"/>
        <w:rPr>
          <w:szCs w:val="28"/>
        </w:rPr>
      </w:pPr>
      <w:r>
        <w:rPr>
          <w:rFonts w:hint="eastAsia"/>
          <w:szCs w:val="28"/>
        </w:rPr>
        <w:t>F——汇水面积，hm</w:t>
      </w:r>
      <w:r>
        <w:rPr>
          <w:rFonts w:hint="eastAsia"/>
          <w:szCs w:val="28"/>
          <w:vertAlign w:val="superscript"/>
        </w:rPr>
        <w:t>2</w:t>
      </w:r>
    </w:p>
    <w:p w14:paraId="78E04D20">
      <w:pPr>
        <w:pStyle w:val="17"/>
        <w:spacing w:line="552" w:lineRule="exact"/>
        <w:ind w:firstLine="560" w:firstLineChars="200"/>
        <w:textAlignment w:val="baseline"/>
        <w:rPr>
          <w:szCs w:val="28"/>
        </w:rPr>
      </w:pPr>
      <w:r>
        <w:rPr>
          <w:rFonts w:hint="eastAsia"/>
          <w:szCs w:val="28"/>
        </w:rPr>
        <w:t>3、基本参数</w:t>
      </w:r>
    </w:p>
    <w:p w14:paraId="6FB5030E">
      <w:pPr>
        <w:pStyle w:val="17"/>
        <w:spacing w:line="552" w:lineRule="exact"/>
        <w:ind w:firstLine="560" w:firstLineChars="200"/>
        <w:textAlignment w:val="baseline"/>
        <w:rPr>
          <w:szCs w:val="28"/>
        </w:rPr>
      </w:pPr>
      <w:r>
        <w:rPr>
          <w:rFonts w:hint="eastAsia"/>
          <w:szCs w:val="28"/>
        </w:rPr>
        <w:t>根据《室外排水设计规范》（GB50014—2006）以及同类城市经验，陵川县城一般地段降雨重现期取1-2年，重点地区、地势低洼区、重要道路交叉口降雨重现期取3-5年。</w:t>
      </w:r>
    </w:p>
    <w:p w14:paraId="4DDB8B57">
      <w:pPr>
        <w:pStyle w:val="17"/>
        <w:spacing w:line="552" w:lineRule="exact"/>
        <w:ind w:firstLine="560" w:firstLineChars="200"/>
        <w:textAlignment w:val="baseline"/>
        <w:rPr>
          <w:szCs w:val="28"/>
        </w:rPr>
      </w:pPr>
      <w:r>
        <w:rPr>
          <w:rFonts w:hint="eastAsia"/>
          <w:szCs w:val="28"/>
        </w:rPr>
        <w:t>考虑用地功能定位以及地形条件，地面集水时间取15min；起始段管道担负着相邻街区的雨水，因此考虑起始雨水管道管内流行时间为10min。</w:t>
      </w:r>
    </w:p>
    <w:p w14:paraId="5F72787E">
      <w:pPr>
        <w:pStyle w:val="17"/>
        <w:spacing w:line="552" w:lineRule="exact"/>
        <w:ind w:firstLine="560" w:firstLineChars="200"/>
        <w:textAlignment w:val="baseline"/>
        <w:rPr>
          <w:szCs w:val="28"/>
        </w:rPr>
      </w:pPr>
      <w:bookmarkStart w:id="67" w:name="_Toc243101027"/>
      <w:r>
        <w:rPr>
          <w:rFonts w:hint="eastAsia"/>
          <w:szCs w:val="28"/>
        </w:rPr>
        <w:t>(二)雨水管网规划</w:t>
      </w:r>
      <w:bookmarkEnd w:id="67"/>
    </w:p>
    <w:p w14:paraId="5639928E">
      <w:pPr>
        <w:pStyle w:val="17"/>
        <w:spacing w:line="552" w:lineRule="exact"/>
        <w:ind w:firstLine="560" w:firstLineChars="200"/>
        <w:textAlignment w:val="baseline"/>
        <w:rPr>
          <w:szCs w:val="28"/>
        </w:rPr>
      </w:pPr>
      <w:r>
        <w:rPr>
          <w:rFonts w:hint="eastAsia"/>
          <w:szCs w:val="28"/>
        </w:rPr>
        <w:t>雨水管道规划布置遵循以下原则：</w:t>
      </w:r>
    </w:p>
    <w:p w14:paraId="1AB5C8BD">
      <w:pPr>
        <w:pStyle w:val="17"/>
        <w:spacing w:line="552" w:lineRule="exact"/>
        <w:ind w:firstLine="560" w:firstLineChars="200"/>
        <w:textAlignment w:val="baseline"/>
        <w:rPr>
          <w:szCs w:val="28"/>
        </w:rPr>
      </w:pPr>
      <w:r>
        <w:rPr>
          <w:rFonts w:hint="eastAsia"/>
          <w:szCs w:val="28"/>
        </w:rPr>
        <w:t>1、结合地形，随坡就势，就近将雨水排入水体。</w:t>
      </w:r>
    </w:p>
    <w:p w14:paraId="14BC678B">
      <w:pPr>
        <w:pStyle w:val="17"/>
        <w:spacing w:line="552" w:lineRule="exact"/>
        <w:ind w:firstLine="560" w:firstLineChars="200"/>
        <w:textAlignment w:val="baseline"/>
        <w:rPr>
          <w:szCs w:val="28"/>
        </w:rPr>
      </w:pPr>
      <w:r>
        <w:rPr>
          <w:rFonts w:hint="eastAsia"/>
          <w:szCs w:val="28"/>
        </w:rPr>
        <w:t>2、合理控制管道坡度和埋深，满足小区内部雨水管道的衔接以及与其他管线的交叉需要。</w:t>
      </w:r>
    </w:p>
    <w:p w14:paraId="4A2F75CE">
      <w:pPr>
        <w:pStyle w:val="17"/>
        <w:spacing w:line="552" w:lineRule="exact"/>
        <w:ind w:firstLine="560" w:firstLineChars="200"/>
        <w:textAlignment w:val="baseline"/>
        <w:rPr>
          <w:szCs w:val="28"/>
        </w:rPr>
      </w:pPr>
      <w:r>
        <w:rPr>
          <w:rFonts w:hint="eastAsia"/>
          <w:szCs w:val="28"/>
        </w:rPr>
        <w:t>3、雨水出水口的设计应满足防止河道洪水倒灌的要求。</w:t>
      </w:r>
    </w:p>
    <w:p w14:paraId="7626B997">
      <w:pPr>
        <w:pStyle w:val="17"/>
        <w:spacing w:line="552" w:lineRule="exact"/>
        <w:ind w:firstLine="560" w:firstLineChars="200"/>
        <w:textAlignment w:val="baseline"/>
        <w:rPr>
          <w:szCs w:val="28"/>
        </w:rPr>
      </w:pPr>
      <w:r>
        <w:rPr>
          <w:rFonts w:hint="eastAsia"/>
          <w:szCs w:val="28"/>
        </w:rPr>
        <w:t>雨水径流控制：</w:t>
      </w:r>
    </w:p>
    <w:p w14:paraId="1A912AEE">
      <w:pPr>
        <w:pStyle w:val="17"/>
        <w:spacing w:line="552" w:lineRule="exact"/>
        <w:ind w:firstLine="560" w:firstLineChars="200"/>
        <w:textAlignment w:val="baseline"/>
        <w:rPr>
          <w:szCs w:val="28"/>
        </w:rPr>
      </w:pPr>
      <w:r>
        <w:rPr>
          <w:rFonts w:hint="eastAsia"/>
          <w:szCs w:val="28"/>
        </w:rPr>
        <w:t>1、加强雨水收集设施建设，提高雨水利用率，减轻城市雨水洪涝灾害。</w:t>
      </w:r>
    </w:p>
    <w:p w14:paraId="12660860">
      <w:pPr>
        <w:pStyle w:val="17"/>
        <w:spacing w:line="552" w:lineRule="exact"/>
        <w:ind w:firstLine="560" w:firstLineChars="200"/>
        <w:textAlignment w:val="baseline"/>
        <w:rPr>
          <w:szCs w:val="28"/>
        </w:rPr>
      </w:pPr>
      <w:r>
        <w:rPr>
          <w:rFonts w:hint="eastAsia"/>
          <w:szCs w:val="28"/>
        </w:rPr>
        <w:t>2、改善地面透水性，减缓地下水位下降趋势。</w:t>
      </w:r>
    </w:p>
    <w:p w14:paraId="6E1935EB">
      <w:pPr>
        <w:pStyle w:val="38"/>
        <w:numPr>
          <w:ilvl w:val="0"/>
          <w:numId w:val="10"/>
        </w:numPr>
        <w:spacing w:before="0" w:beforeLines="0" w:after="0" w:afterLines="0" w:line="552" w:lineRule="exact"/>
        <w:rPr>
          <w:rFonts w:ascii="黑体" w:hAnsi="黑体"/>
          <w:b/>
        </w:rPr>
      </w:pPr>
      <w:bookmarkStart w:id="68" w:name="_Toc402516195"/>
      <w:bookmarkStart w:id="69" w:name="_Toc528317048"/>
      <w:r>
        <w:rPr>
          <w:rFonts w:hint="eastAsia" w:ascii="黑体" w:hAnsi="黑体"/>
          <w:b/>
        </w:rPr>
        <w:t>中水工程规划</w:t>
      </w:r>
      <w:bookmarkEnd w:id="68"/>
      <w:bookmarkEnd w:id="69"/>
    </w:p>
    <w:p w14:paraId="26E77DDB">
      <w:pPr>
        <w:pStyle w:val="17"/>
        <w:spacing w:line="552" w:lineRule="exact"/>
        <w:ind w:firstLine="560" w:firstLineChars="200"/>
        <w:textAlignment w:val="baseline"/>
        <w:rPr>
          <w:szCs w:val="28"/>
        </w:rPr>
      </w:pPr>
      <w:r>
        <w:rPr>
          <w:rFonts w:hint="eastAsia"/>
          <w:szCs w:val="28"/>
        </w:rPr>
        <w:t>（一）中水利用量预测</w:t>
      </w:r>
    </w:p>
    <w:p w14:paraId="61EABDAB">
      <w:pPr>
        <w:pStyle w:val="17"/>
        <w:spacing w:line="552" w:lineRule="exact"/>
        <w:ind w:firstLine="560" w:firstLineChars="200"/>
        <w:textAlignment w:val="baseline"/>
        <w:rPr>
          <w:szCs w:val="28"/>
        </w:rPr>
      </w:pPr>
      <w:r>
        <w:rPr>
          <w:rFonts w:hint="eastAsia"/>
          <w:szCs w:val="28"/>
        </w:rPr>
        <w:t>1.城市道路绿地浇洒用水</w:t>
      </w:r>
    </w:p>
    <w:p w14:paraId="00D7477F">
      <w:pPr>
        <w:pStyle w:val="17"/>
        <w:spacing w:line="552" w:lineRule="exact"/>
        <w:ind w:firstLine="560" w:firstLineChars="200"/>
        <w:textAlignment w:val="baseline"/>
        <w:rPr>
          <w:szCs w:val="28"/>
        </w:rPr>
      </w:pPr>
      <w:r>
        <w:rPr>
          <w:rFonts w:hint="eastAsia"/>
          <w:szCs w:val="28"/>
        </w:rPr>
        <w:t>经计算本次规划浇洒绿地和道路广场用水量之和为3200m</w:t>
      </w:r>
      <w:r>
        <w:rPr>
          <w:rFonts w:hint="eastAsia"/>
          <w:szCs w:val="28"/>
          <w:vertAlign w:val="superscript"/>
        </w:rPr>
        <w:t>3</w:t>
      </w:r>
      <w:r>
        <w:rPr>
          <w:rFonts w:hint="eastAsia"/>
          <w:szCs w:val="28"/>
        </w:rPr>
        <w:t>/d。</w:t>
      </w:r>
    </w:p>
    <w:p w14:paraId="26B75B74">
      <w:pPr>
        <w:pStyle w:val="17"/>
        <w:spacing w:line="552" w:lineRule="exact"/>
        <w:ind w:firstLine="560" w:firstLineChars="200"/>
        <w:textAlignment w:val="baseline"/>
        <w:rPr>
          <w:szCs w:val="28"/>
        </w:rPr>
      </w:pPr>
      <w:r>
        <w:rPr>
          <w:rFonts w:hint="eastAsia"/>
          <w:szCs w:val="28"/>
        </w:rPr>
        <w:t>2.河道景观用水</w:t>
      </w:r>
    </w:p>
    <w:p w14:paraId="4D0CA1F2">
      <w:pPr>
        <w:pStyle w:val="17"/>
        <w:spacing w:line="552" w:lineRule="exact"/>
        <w:ind w:firstLine="560" w:firstLineChars="200"/>
        <w:textAlignment w:val="baseline"/>
        <w:rPr>
          <w:szCs w:val="28"/>
        </w:rPr>
      </w:pPr>
      <w:r>
        <w:rPr>
          <w:rFonts w:hint="eastAsia"/>
          <w:szCs w:val="28"/>
        </w:rPr>
        <w:t>考虑河道景观水蒸发、渗漏等因素，同时为保持蓄水水体清澈，应为河道补充新水，预计河道补充水量达到约2000m</w:t>
      </w:r>
      <w:r>
        <w:rPr>
          <w:rFonts w:hint="eastAsia"/>
          <w:szCs w:val="28"/>
          <w:vertAlign w:val="superscript"/>
        </w:rPr>
        <w:t>3</w:t>
      </w:r>
      <w:r>
        <w:rPr>
          <w:rFonts w:hint="eastAsia"/>
          <w:szCs w:val="28"/>
        </w:rPr>
        <w:t>/d。</w:t>
      </w:r>
    </w:p>
    <w:p w14:paraId="1F3AC6AF">
      <w:pPr>
        <w:pStyle w:val="17"/>
        <w:spacing w:line="552" w:lineRule="exact"/>
        <w:ind w:firstLine="560" w:firstLineChars="200"/>
        <w:textAlignment w:val="baseline"/>
        <w:rPr>
          <w:szCs w:val="28"/>
        </w:rPr>
      </w:pPr>
      <w:r>
        <w:rPr>
          <w:rFonts w:hint="eastAsia"/>
          <w:szCs w:val="28"/>
        </w:rPr>
        <w:t>3.工业用水</w:t>
      </w:r>
    </w:p>
    <w:p w14:paraId="0500DEC5">
      <w:pPr>
        <w:pStyle w:val="17"/>
        <w:spacing w:line="552" w:lineRule="exact"/>
        <w:ind w:firstLine="560" w:firstLineChars="200"/>
        <w:textAlignment w:val="baseline"/>
        <w:rPr>
          <w:szCs w:val="28"/>
        </w:rPr>
      </w:pPr>
      <w:r>
        <w:rPr>
          <w:rFonts w:hint="eastAsia"/>
          <w:szCs w:val="28"/>
        </w:rPr>
        <w:t>陵川县城最高日工业用水量为4000m</w:t>
      </w:r>
      <w:r>
        <w:rPr>
          <w:rFonts w:hint="eastAsia"/>
          <w:szCs w:val="28"/>
          <w:vertAlign w:val="superscript"/>
        </w:rPr>
        <w:t>3</w:t>
      </w:r>
      <w:r>
        <w:rPr>
          <w:rFonts w:hint="eastAsia"/>
          <w:szCs w:val="28"/>
        </w:rPr>
        <w:t>/d。</w:t>
      </w:r>
    </w:p>
    <w:p w14:paraId="1CDC8203">
      <w:pPr>
        <w:pStyle w:val="17"/>
        <w:spacing w:line="552" w:lineRule="exact"/>
        <w:ind w:firstLine="560" w:firstLineChars="200"/>
        <w:textAlignment w:val="baseline"/>
        <w:rPr>
          <w:szCs w:val="28"/>
        </w:rPr>
      </w:pPr>
      <w:r>
        <w:rPr>
          <w:rFonts w:hint="eastAsia"/>
          <w:szCs w:val="28"/>
        </w:rPr>
        <w:t>4.管网漏失水量</w:t>
      </w:r>
    </w:p>
    <w:p w14:paraId="63280C64">
      <w:pPr>
        <w:pStyle w:val="17"/>
        <w:spacing w:line="552" w:lineRule="exact"/>
        <w:ind w:firstLine="560" w:firstLineChars="200"/>
        <w:textAlignment w:val="baseline"/>
        <w:rPr>
          <w:szCs w:val="28"/>
        </w:rPr>
      </w:pPr>
      <w:r>
        <w:rPr>
          <w:rFonts w:hint="eastAsia"/>
          <w:szCs w:val="28"/>
        </w:rPr>
        <w:t>管网漏失水量按上述水量总和的10%计算，则管网漏失水量为920m</w:t>
      </w:r>
      <w:r>
        <w:rPr>
          <w:rFonts w:hint="eastAsia"/>
          <w:szCs w:val="28"/>
          <w:vertAlign w:val="superscript"/>
        </w:rPr>
        <w:t>3</w:t>
      </w:r>
      <w:r>
        <w:rPr>
          <w:rFonts w:hint="eastAsia"/>
          <w:szCs w:val="28"/>
        </w:rPr>
        <w:t>/d。</w:t>
      </w:r>
    </w:p>
    <w:p w14:paraId="68303012">
      <w:pPr>
        <w:pStyle w:val="17"/>
        <w:spacing w:line="552" w:lineRule="exact"/>
        <w:ind w:firstLine="560" w:firstLineChars="200"/>
        <w:textAlignment w:val="baseline"/>
        <w:rPr>
          <w:szCs w:val="28"/>
        </w:rPr>
      </w:pPr>
      <w:r>
        <w:rPr>
          <w:rFonts w:hint="eastAsia"/>
          <w:szCs w:val="28"/>
        </w:rPr>
        <w:t>5.未预见水量</w:t>
      </w:r>
    </w:p>
    <w:p w14:paraId="679DA364">
      <w:pPr>
        <w:pStyle w:val="17"/>
        <w:spacing w:line="552" w:lineRule="exact"/>
        <w:ind w:firstLine="560" w:firstLineChars="200"/>
        <w:textAlignment w:val="baseline"/>
        <w:rPr>
          <w:szCs w:val="28"/>
        </w:rPr>
      </w:pPr>
      <w:r>
        <w:rPr>
          <w:rFonts w:hint="eastAsia"/>
          <w:szCs w:val="28"/>
        </w:rPr>
        <w:t>未预见水量按上述水量总和的8%计算，则未预见水量为810m</w:t>
      </w:r>
      <w:r>
        <w:rPr>
          <w:rFonts w:hint="eastAsia"/>
          <w:szCs w:val="28"/>
          <w:vertAlign w:val="superscript"/>
        </w:rPr>
        <w:t>3</w:t>
      </w:r>
      <w:r>
        <w:rPr>
          <w:rFonts w:hint="eastAsia"/>
          <w:szCs w:val="28"/>
        </w:rPr>
        <w:t>/d。</w:t>
      </w:r>
    </w:p>
    <w:p w14:paraId="02E06671">
      <w:pPr>
        <w:pStyle w:val="17"/>
        <w:spacing w:line="552" w:lineRule="exact"/>
        <w:ind w:firstLine="560" w:firstLineChars="200"/>
        <w:textAlignment w:val="baseline"/>
        <w:rPr>
          <w:szCs w:val="28"/>
        </w:rPr>
      </w:pPr>
      <w:r>
        <w:rPr>
          <w:rFonts w:hint="eastAsia"/>
          <w:szCs w:val="28"/>
        </w:rPr>
        <w:t>6.中水总利用量</w:t>
      </w:r>
    </w:p>
    <w:p w14:paraId="074903E1">
      <w:pPr>
        <w:pStyle w:val="17"/>
        <w:spacing w:line="552" w:lineRule="exact"/>
        <w:ind w:firstLine="560" w:firstLineChars="200"/>
        <w:textAlignment w:val="baseline"/>
        <w:rPr>
          <w:szCs w:val="28"/>
        </w:rPr>
      </w:pPr>
      <w:r>
        <w:rPr>
          <w:rFonts w:hint="eastAsia"/>
          <w:szCs w:val="28"/>
        </w:rPr>
        <w:t>由上述5项之和得到，中水总利用量为1.14万m</w:t>
      </w:r>
      <w:r>
        <w:rPr>
          <w:rFonts w:hint="eastAsia"/>
          <w:szCs w:val="28"/>
          <w:vertAlign w:val="superscript"/>
        </w:rPr>
        <w:t>3</w:t>
      </w:r>
      <w:r>
        <w:rPr>
          <w:rFonts w:hint="eastAsia"/>
          <w:szCs w:val="28"/>
        </w:rPr>
        <w:t>/d。</w:t>
      </w:r>
    </w:p>
    <w:p w14:paraId="1F692DD8">
      <w:pPr>
        <w:pStyle w:val="17"/>
        <w:spacing w:line="552" w:lineRule="exact"/>
        <w:ind w:firstLine="560" w:firstLineChars="200"/>
        <w:textAlignment w:val="baseline"/>
        <w:rPr>
          <w:szCs w:val="28"/>
        </w:rPr>
      </w:pPr>
      <w:r>
        <w:rPr>
          <w:rFonts w:hint="eastAsia"/>
          <w:szCs w:val="28"/>
        </w:rPr>
        <w:t>（二）中水水源规划</w:t>
      </w:r>
    </w:p>
    <w:p w14:paraId="2B3374A0">
      <w:pPr>
        <w:pStyle w:val="17"/>
        <w:spacing w:line="552" w:lineRule="exact"/>
        <w:ind w:firstLine="560" w:firstLineChars="200"/>
        <w:textAlignment w:val="baseline"/>
        <w:rPr>
          <w:szCs w:val="28"/>
        </w:rPr>
      </w:pPr>
      <w:r>
        <w:rPr>
          <w:rFonts w:hint="eastAsia"/>
          <w:szCs w:val="28"/>
        </w:rPr>
        <w:t>规划污水厂中水回用需进行深度处理。中水用作城市杂用水，其水质应符合国家标准城市杂用水水质的规定。规划污水处理厂可供中水量为1.2万m</w:t>
      </w:r>
      <w:r>
        <w:rPr>
          <w:rFonts w:hint="eastAsia"/>
          <w:szCs w:val="28"/>
          <w:vertAlign w:val="superscript"/>
        </w:rPr>
        <w:t>3</w:t>
      </w:r>
      <w:r>
        <w:rPr>
          <w:rFonts w:hint="eastAsia"/>
          <w:szCs w:val="28"/>
        </w:rPr>
        <w:t>/d。</w:t>
      </w:r>
    </w:p>
    <w:p w14:paraId="6A5411EE">
      <w:pPr>
        <w:pStyle w:val="17"/>
        <w:spacing w:line="552" w:lineRule="exact"/>
        <w:ind w:firstLine="560" w:firstLineChars="200"/>
        <w:textAlignment w:val="baseline"/>
        <w:rPr>
          <w:szCs w:val="28"/>
        </w:rPr>
      </w:pPr>
      <w:r>
        <w:rPr>
          <w:rFonts w:hint="eastAsia"/>
          <w:szCs w:val="28"/>
        </w:rPr>
        <w:t>(三)中水管网规划</w:t>
      </w:r>
    </w:p>
    <w:p w14:paraId="16580EE8">
      <w:pPr>
        <w:pStyle w:val="17"/>
        <w:spacing w:line="552" w:lineRule="exact"/>
        <w:ind w:firstLine="560" w:firstLineChars="200"/>
        <w:textAlignment w:val="baseline"/>
        <w:rPr>
          <w:szCs w:val="28"/>
        </w:rPr>
      </w:pPr>
      <w:r>
        <w:rPr>
          <w:rFonts w:hint="eastAsia"/>
          <w:szCs w:val="28"/>
        </w:rPr>
        <w:t>规划中水管网以枝状方式布置。</w:t>
      </w:r>
    </w:p>
    <w:p w14:paraId="7F9439F0">
      <w:pPr>
        <w:pStyle w:val="38"/>
        <w:numPr>
          <w:ilvl w:val="0"/>
          <w:numId w:val="10"/>
        </w:numPr>
        <w:spacing w:before="0" w:beforeLines="0" w:after="0" w:afterLines="0" w:line="552" w:lineRule="exact"/>
        <w:rPr>
          <w:rFonts w:ascii="黑体" w:hAnsi="黑体"/>
          <w:b/>
        </w:rPr>
      </w:pPr>
      <w:bookmarkStart w:id="70" w:name="_Toc528317049"/>
      <w:bookmarkStart w:id="71" w:name="_Toc402516196"/>
      <w:r>
        <w:rPr>
          <w:rFonts w:hint="eastAsia" w:ascii="黑体" w:hAnsi="黑体"/>
          <w:b/>
        </w:rPr>
        <w:t>燃气工程规划</w:t>
      </w:r>
      <w:bookmarkEnd w:id="70"/>
      <w:bookmarkEnd w:id="71"/>
    </w:p>
    <w:p w14:paraId="05F04742">
      <w:pPr>
        <w:pStyle w:val="17"/>
        <w:spacing w:line="552" w:lineRule="exact"/>
        <w:ind w:firstLine="560" w:firstLineChars="200"/>
        <w:textAlignment w:val="baseline"/>
        <w:rPr>
          <w:szCs w:val="28"/>
        </w:rPr>
      </w:pPr>
      <w:bookmarkStart w:id="72" w:name="_Toc243101029"/>
      <w:r>
        <w:rPr>
          <w:rFonts w:hint="eastAsia"/>
          <w:szCs w:val="28"/>
        </w:rPr>
        <w:t>(一)气源规划</w:t>
      </w:r>
      <w:bookmarkEnd w:id="72"/>
    </w:p>
    <w:p w14:paraId="69615FD3">
      <w:pPr>
        <w:pStyle w:val="17"/>
        <w:spacing w:line="552" w:lineRule="exact"/>
        <w:ind w:firstLine="560" w:firstLineChars="200"/>
        <w:textAlignment w:val="baseline"/>
        <w:rPr>
          <w:szCs w:val="28"/>
        </w:rPr>
      </w:pPr>
      <w:r>
        <w:rPr>
          <w:rFonts w:hint="eastAsia"/>
          <w:szCs w:val="28"/>
        </w:rPr>
        <w:t>规划以煤层气作为主要气源。</w:t>
      </w:r>
    </w:p>
    <w:p w14:paraId="0A4C8869">
      <w:pPr>
        <w:pStyle w:val="17"/>
        <w:spacing w:line="552" w:lineRule="exact"/>
        <w:ind w:firstLine="560" w:firstLineChars="200"/>
        <w:textAlignment w:val="baseline"/>
        <w:rPr>
          <w:szCs w:val="28"/>
        </w:rPr>
      </w:pPr>
      <w:r>
        <w:rPr>
          <w:rFonts w:hint="eastAsia"/>
          <w:szCs w:val="28"/>
        </w:rPr>
        <w:t>陵川县城现状有1座储配站：惠民煤层气利用有限公司储配站。</w:t>
      </w:r>
    </w:p>
    <w:p w14:paraId="32192DC9">
      <w:pPr>
        <w:pStyle w:val="17"/>
        <w:spacing w:line="552" w:lineRule="exact"/>
        <w:ind w:firstLine="560" w:firstLineChars="200"/>
        <w:textAlignment w:val="baseline"/>
        <w:rPr>
          <w:szCs w:val="28"/>
        </w:rPr>
      </w:pPr>
      <w:bookmarkStart w:id="73" w:name="_Toc243101030"/>
      <w:r>
        <w:rPr>
          <w:rFonts w:hint="eastAsia"/>
          <w:szCs w:val="28"/>
        </w:rPr>
        <w:t>(二)用气指标的确定</w:t>
      </w:r>
      <w:bookmarkEnd w:id="73"/>
    </w:p>
    <w:p w14:paraId="212DD9AA">
      <w:pPr>
        <w:pStyle w:val="17"/>
        <w:spacing w:line="552" w:lineRule="exact"/>
        <w:ind w:firstLine="560" w:firstLineChars="200"/>
        <w:textAlignment w:val="baseline"/>
        <w:rPr>
          <w:szCs w:val="28"/>
        </w:rPr>
      </w:pPr>
      <w:r>
        <w:rPr>
          <w:rFonts w:hint="eastAsia"/>
          <w:szCs w:val="28"/>
        </w:rPr>
        <w:t>本次规划采用人均耗热指标来确定居民用气量，确定2020年人均耗热指标为2920MJ/（人.年），同时以热值为38.5MJ/ Nm</w:t>
      </w:r>
      <w:r>
        <w:rPr>
          <w:rFonts w:hint="eastAsia"/>
          <w:szCs w:val="28"/>
          <w:vertAlign w:val="superscript"/>
        </w:rPr>
        <w:t>3</w:t>
      </w:r>
      <w:r>
        <w:rPr>
          <w:rFonts w:hint="eastAsia"/>
          <w:szCs w:val="28"/>
        </w:rPr>
        <w:t>的煤层气为计算基准。参照其他同类供气规模城市实际用气经验，确定居民和公建用户不均匀系数，分别取值如下：月用气不均匀系数取</w:t>
      </w:r>
      <w:r>
        <w:rPr>
          <w:szCs w:val="28"/>
        </w:rPr>
        <w:t>1.2</w:t>
      </w:r>
      <w:r>
        <w:rPr>
          <w:rFonts w:hint="eastAsia"/>
          <w:szCs w:val="28"/>
        </w:rPr>
        <w:t>，日用气不均匀系数取</w:t>
      </w:r>
      <w:r>
        <w:rPr>
          <w:szCs w:val="28"/>
        </w:rPr>
        <w:t>1.15</w:t>
      </w:r>
      <w:r>
        <w:rPr>
          <w:rFonts w:hint="eastAsia"/>
          <w:szCs w:val="28"/>
        </w:rPr>
        <w:t>，时用气不均匀系数取</w:t>
      </w:r>
      <w:r>
        <w:rPr>
          <w:szCs w:val="28"/>
        </w:rPr>
        <w:t>3.0</w:t>
      </w:r>
      <w:r>
        <w:rPr>
          <w:rFonts w:hint="eastAsia"/>
          <w:szCs w:val="28"/>
        </w:rPr>
        <w:t>。</w:t>
      </w:r>
    </w:p>
    <w:p w14:paraId="2A3644C3">
      <w:pPr>
        <w:pStyle w:val="17"/>
        <w:spacing w:line="552" w:lineRule="exact"/>
        <w:ind w:firstLine="560" w:firstLineChars="200"/>
        <w:textAlignment w:val="baseline"/>
        <w:rPr>
          <w:szCs w:val="28"/>
        </w:rPr>
      </w:pPr>
      <w:bookmarkStart w:id="74" w:name="_Toc243101031"/>
      <w:r>
        <w:rPr>
          <w:rFonts w:hint="eastAsia"/>
          <w:szCs w:val="28"/>
        </w:rPr>
        <w:t>(三)用气量预测</w:t>
      </w:r>
      <w:bookmarkEnd w:id="74"/>
    </w:p>
    <w:p w14:paraId="7CC2C3BF">
      <w:pPr>
        <w:pStyle w:val="17"/>
        <w:spacing w:line="552" w:lineRule="exact"/>
        <w:ind w:firstLine="560" w:firstLineChars="200"/>
        <w:textAlignment w:val="baseline"/>
        <w:rPr>
          <w:szCs w:val="28"/>
        </w:rPr>
      </w:pPr>
      <w:r>
        <w:rPr>
          <w:rFonts w:hint="eastAsia"/>
          <w:szCs w:val="28"/>
        </w:rPr>
        <w:t>规划远期分类用户年用气量之比为居民：公建：工业=1：0.50：0.6，未预见量取总用气量5%。</w:t>
      </w:r>
    </w:p>
    <w:p w14:paraId="04CE4F05">
      <w:pPr>
        <w:pStyle w:val="17"/>
        <w:spacing w:line="552" w:lineRule="exact"/>
        <w:ind w:firstLine="560" w:firstLineChars="200"/>
        <w:textAlignment w:val="baseline"/>
        <w:rPr>
          <w:szCs w:val="28"/>
        </w:rPr>
      </w:pPr>
      <w:r>
        <w:rPr>
          <w:rFonts w:hint="eastAsia"/>
          <w:szCs w:val="28"/>
        </w:rPr>
        <w:t>规划人口数</w:t>
      </w:r>
      <w:r>
        <w:rPr>
          <w:szCs w:val="28"/>
        </w:rPr>
        <w:t>9.9</w:t>
      </w:r>
      <w:r>
        <w:rPr>
          <w:rFonts w:hint="eastAsia"/>
          <w:szCs w:val="28"/>
        </w:rPr>
        <w:t>万人，则最高年用气量为</w:t>
      </w:r>
      <w:r>
        <w:rPr>
          <w:szCs w:val="28"/>
        </w:rPr>
        <w:t>751</w:t>
      </w:r>
      <w:r>
        <w:rPr>
          <w:rFonts w:hint="eastAsia"/>
          <w:szCs w:val="28"/>
        </w:rPr>
        <w:t>万Nm</w:t>
      </w:r>
      <w:r>
        <w:rPr>
          <w:rFonts w:hint="eastAsia"/>
          <w:szCs w:val="28"/>
          <w:vertAlign w:val="superscript"/>
        </w:rPr>
        <w:t>3</w:t>
      </w:r>
      <w:r>
        <w:rPr>
          <w:rFonts w:hint="eastAsia"/>
          <w:szCs w:val="28"/>
        </w:rPr>
        <w:t>/d。</w:t>
      </w:r>
    </w:p>
    <w:p w14:paraId="144F9AF0">
      <w:pPr>
        <w:spacing w:line="580" w:lineRule="exact"/>
        <w:jc w:val="center"/>
        <w:rPr>
          <w:rFonts w:ascii="宋体" w:hAnsi="宋体"/>
          <w:b/>
          <w:sz w:val="28"/>
          <w:szCs w:val="28"/>
        </w:rPr>
      </w:pPr>
      <w:r>
        <w:rPr>
          <w:rFonts w:hint="eastAsia" w:ascii="宋体" w:hAnsi="宋体"/>
          <w:b/>
          <w:sz w:val="28"/>
          <w:szCs w:val="28"/>
        </w:rPr>
        <w:t>表12  各类用户用气量表</w:t>
      </w:r>
    </w:p>
    <w:tbl>
      <w:tblPr>
        <w:tblStyle w:val="21"/>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80"/>
        <w:gridCol w:w="1432"/>
        <w:gridCol w:w="1123"/>
        <w:gridCol w:w="1274"/>
        <w:gridCol w:w="1123"/>
        <w:gridCol w:w="1267"/>
        <w:gridCol w:w="1085"/>
      </w:tblGrid>
      <w:tr w14:paraId="1319AEE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1810" w:type="dxa"/>
            <w:vMerge w:val="restart"/>
            <w:vAlign w:val="center"/>
          </w:tcPr>
          <w:p w14:paraId="1BAD5765">
            <w:pPr>
              <w:pStyle w:val="48"/>
            </w:pPr>
            <w:r>
              <w:rPr>
                <w:rFonts w:hint="eastAsia"/>
              </w:rPr>
              <w:t>用  户</w:t>
            </w:r>
          </w:p>
        </w:tc>
        <w:tc>
          <w:tcPr>
            <w:tcW w:w="2572" w:type="dxa"/>
            <w:gridSpan w:val="2"/>
            <w:vAlign w:val="center"/>
          </w:tcPr>
          <w:p w14:paraId="1415FE2B">
            <w:pPr>
              <w:pStyle w:val="48"/>
            </w:pPr>
            <w:r>
              <w:rPr>
                <w:rFonts w:hint="eastAsia"/>
              </w:rPr>
              <w:t>年用气量</w:t>
            </w:r>
          </w:p>
        </w:tc>
        <w:tc>
          <w:tcPr>
            <w:tcW w:w="2410" w:type="dxa"/>
            <w:gridSpan w:val="2"/>
            <w:vAlign w:val="center"/>
          </w:tcPr>
          <w:p w14:paraId="69778306">
            <w:pPr>
              <w:pStyle w:val="48"/>
            </w:pPr>
            <w:r>
              <w:rPr>
                <w:rFonts w:hint="eastAsia"/>
              </w:rPr>
              <w:t>计算月平均用气量</w:t>
            </w:r>
          </w:p>
        </w:tc>
        <w:tc>
          <w:tcPr>
            <w:tcW w:w="2371" w:type="dxa"/>
            <w:gridSpan w:val="2"/>
            <w:vAlign w:val="center"/>
          </w:tcPr>
          <w:p w14:paraId="50EED1F6">
            <w:pPr>
              <w:pStyle w:val="48"/>
            </w:pPr>
            <w:r>
              <w:rPr>
                <w:rFonts w:hint="eastAsia"/>
              </w:rPr>
              <w:t>高峰小时用气量</w:t>
            </w:r>
          </w:p>
        </w:tc>
      </w:tr>
      <w:tr w14:paraId="41E444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369" w:hRule="atLeast"/>
          <w:jc w:val="center"/>
        </w:trPr>
        <w:tc>
          <w:tcPr>
            <w:tcW w:w="1810" w:type="dxa"/>
            <w:vMerge w:val="continue"/>
            <w:vAlign w:val="center"/>
          </w:tcPr>
          <w:p w14:paraId="6DA8D0C2">
            <w:pPr>
              <w:pStyle w:val="48"/>
            </w:pPr>
          </w:p>
        </w:tc>
        <w:tc>
          <w:tcPr>
            <w:tcW w:w="1438" w:type="dxa"/>
            <w:vAlign w:val="center"/>
          </w:tcPr>
          <w:p w14:paraId="4303BC28">
            <w:pPr>
              <w:pStyle w:val="48"/>
            </w:pPr>
            <w:r>
              <w:rPr>
                <w:rFonts w:hint="eastAsia"/>
              </w:rPr>
              <w:t>用气量</w:t>
            </w:r>
          </w:p>
          <w:p w14:paraId="51BF843C">
            <w:pPr>
              <w:pStyle w:val="48"/>
            </w:pPr>
            <w:r>
              <w:rPr>
                <w:rFonts w:hint="eastAsia"/>
              </w:rPr>
              <w:t>(104m3/a)</w:t>
            </w:r>
          </w:p>
        </w:tc>
        <w:tc>
          <w:tcPr>
            <w:tcW w:w="1134" w:type="dxa"/>
            <w:vAlign w:val="center"/>
          </w:tcPr>
          <w:p w14:paraId="079A6ADF">
            <w:pPr>
              <w:pStyle w:val="48"/>
            </w:pPr>
            <w:r>
              <w:rPr>
                <w:rFonts w:hint="eastAsia"/>
              </w:rPr>
              <w:t>百分比</w:t>
            </w:r>
          </w:p>
          <w:p w14:paraId="15D5E84B">
            <w:pPr>
              <w:pStyle w:val="48"/>
            </w:pPr>
            <w:r>
              <w:rPr>
                <w:rFonts w:hint="eastAsia"/>
              </w:rPr>
              <w:t>(%)</w:t>
            </w:r>
          </w:p>
        </w:tc>
        <w:tc>
          <w:tcPr>
            <w:tcW w:w="1276" w:type="dxa"/>
            <w:vAlign w:val="center"/>
          </w:tcPr>
          <w:p w14:paraId="152D9470">
            <w:pPr>
              <w:pStyle w:val="48"/>
            </w:pPr>
            <w:r>
              <w:rPr>
                <w:rFonts w:hint="eastAsia"/>
              </w:rPr>
              <w:t>用气量</w:t>
            </w:r>
          </w:p>
          <w:p w14:paraId="4AED8028">
            <w:pPr>
              <w:pStyle w:val="48"/>
            </w:pPr>
            <w:r>
              <w:rPr>
                <w:rFonts w:hint="eastAsia"/>
              </w:rPr>
              <w:t>(104m3/d)</w:t>
            </w:r>
          </w:p>
        </w:tc>
        <w:tc>
          <w:tcPr>
            <w:tcW w:w="1134" w:type="dxa"/>
            <w:vAlign w:val="center"/>
          </w:tcPr>
          <w:p w14:paraId="796F1003">
            <w:pPr>
              <w:pStyle w:val="48"/>
            </w:pPr>
            <w:r>
              <w:rPr>
                <w:rFonts w:hint="eastAsia"/>
              </w:rPr>
              <w:t>百分比</w:t>
            </w:r>
          </w:p>
          <w:p w14:paraId="6457E49C">
            <w:pPr>
              <w:pStyle w:val="48"/>
            </w:pPr>
            <w:r>
              <w:rPr>
                <w:rFonts w:hint="eastAsia"/>
              </w:rPr>
              <w:t>(%)</w:t>
            </w:r>
          </w:p>
        </w:tc>
        <w:tc>
          <w:tcPr>
            <w:tcW w:w="1276" w:type="dxa"/>
            <w:vAlign w:val="center"/>
          </w:tcPr>
          <w:p w14:paraId="0FD4B4EB">
            <w:pPr>
              <w:pStyle w:val="48"/>
            </w:pPr>
            <w:r>
              <w:rPr>
                <w:rFonts w:hint="eastAsia"/>
              </w:rPr>
              <w:t>用气量</w:t>
            </w:r>
          </w:p>
          <w:p w14:paraId="265FE7C9">
            <w:pPr>
              <w:pStyle w:val="48"/>
            </w:pPr>
            <w:r>
              <w:rPr>
                <w:rFonts w:hint="eastAsia"/>
              </w:rPr>
              <w:t>(m3/h)</w:t>
            </w:r>
          </w:p>
        </w:tc>
        <w:tc>
          <w:tcPr>
            <w:tcW w:w="1095" w:type="dxa"/>
            <w:vAlign w:val="center"/>
          </w:tcPr>
          <w:p w14:paraId="54E9DAF0">
            <w:pPr>
              <w:pStyle w:val="48"/>
            </w:pPr>
            <w:r>
              <w:rPr>
                <w:rFonts w:hint="eastAsia"/>
              </w:rPr>
              <w:t>百分比</w:t>
            </w:r>
          </w:p>
          <w:p w14:paraId="06D0FE8A">
            <w:pPr>
              <w:pStyle w:val="48"/>
            </w:pPr>
            <w:r>
              <w:rPr>
                <w:rFonts w:hint="eastAsia"/>
              </w:rPr>
              <w:t>(%)</w:t>
            </w:r>
          </w:p>
        </w:tc>
      </w:tr>
      <w:tr w14:paraId="16031A3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1810" w:type="dxa"/>
            <w:vAlign w:val="center"/>
          </w:tcPr>
          <w:p w14:paraId="673D4EFE">
            <w:pPr>
              <w:pStyle w:val="48"/>
            </w:pPr>
            <w:r>
              <w:rPr>
                <w:rFonts w:hint="eastAsia"/>
              </w:rPr>
              <w:t>居民</w:t>
            </w:r>
          </w:p>
        </w:tc>
        <w:tc>
          <w:tcPr>
            <w:tcW w:w="1438" w:type="dxa"/>
            <w:vAlign w:val="center"/>
          </w:tcPr>
          <w:p w14:paraId="3288DE14">
            <w:pPr>
              <w:pStyle w:val="48"/>
            </w:pPr>
            <w:r>
              <w:t>751</w:t>
            </w:r>
          </w:p>
        </w:tc>
        <w:tc>
          <w:tcPr>
            <w:tcW w:w="1134" w:type="dxa"/>
            <w:vAlign w:val="center"/>
          </w:tcPr>
          <w:p w14:paraId="1AF6F8E0">
            <w:pPr>
              <w:pStyle w:val="48"/>
            </w:pPr>
            <w:r>
              <w:rPr>
                <w:rFonts w:hint="eastAsia"/>
              </w:rPr>
              <w:t>45.3</w:t>
            </w:r>
          </w:p>
        </w:tc>
        <w:tc>
          <w:tcPr>
            <w:tcW w:w="1276" w:type="dxa"/>
            <w:vAlign w:val="center"/>
          </w:tcPr>
          <w:p w14:paraId="61AFA1B0">
            <w:pPr>
              <w:pStyle w:val="48"/>
            </w:pPr>
            <w:r>
              <w:t>75.1</w:t>
            </w:r>
          </w:p>
        </w:tc>
        <w:tc>
          <w:tcPr>
            <w:tcW w:w="1134" w:type="dxa"/>
            <w:vAlign w:val="center"/>
          </w:tcPr>
          <w:p w14:paraId="618472D8">
            <w:pPr>
              <w:pStyle w:val="48"/>
            </w:pPr>
            <w:r>
              <w:rPr>
                <w:rFonts w:hint="eastAsia"/>
              </w:rPr>
              <w:t>45.3</w:t>
            </w:r>
          </w:p>
        </w:tc>
        <w:tc>
          <w:tcPr>
            <w:tcW w:w="1276" w:type="dxa"/>
            <w:vAlign w:val="center"/>
          </w:tcPr>
          <w:p w14:paraId="390BFF96">
            <w:pPr>
              <w:pStyle w:val="48"/>
            </w:pPr>
            <w:r>
              <w:t>4318</w:t>
            </w:r>
          </w:p>
        </w:tc>
        <w:tc>
          <w:tcPr>
            <w:tcW w:w="1095" w:type="dxa"/>
            <w:vAlign w:val="center"/>
          </w:tcPr>
          <w:p w14:paraId="3D788107">
            <w:pPr>
              <w:pStyle w:val="48"/>
            </w:pPr>
            <w:r>
              <w:rPr>
                <w:rFonts w:hint="eastAsia"/>
              </w:rPr>
              <w:t>45.3</w:t>
            </w:r>
          </w:p>
        </w:tc>
      </w:tr>
      <w:tr w14:paraId="6B7CCA8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1810" w:type="dxa"/>
            <w:vAlign w:val="center"/>
          </w:tcPr>
          <w:p w14:paraId="2522D485">
            <w:pPr>
              <w:pStyle w:val="48"/>
            </w:pPr>
            <w:r>
              <w:rPr>
                <w:rFonts w:hint="eastAsia"/>
              </w:rPr>
              <w:t>公建</w:t>
            </w:r>
          </w:p>
        </w:tc>
        <w:tc>
          <w:tcPr>
            <w:tcW w:w="1438" w:type="dxa"/>
            <w:vAlign w:val="center"/>
          </w:tcPr>
          <w:p w14:paraId="220E87CF">
            <w:pPr>
              <w:pStyle w:val="48"/>
            </w:pPr>
            <w:r>
              <w:t>375.5</w:t>
            </w:r>
          </w:p>
        </w:tc>
        <w:tc>
          <w:tcPr>
            <w:tcW w:w="1134" w:type="dxa"/>
            <w:vAlign w:val="center"/>
          </w:tcPr>
          <w:p w14:paraId="7560889C">
            <w:pPr>
              <w:pStyle w:val="48"/>
            </w:pPr>
            <w:r>
              <w:rPr>
                <w:rFonts w:hint="eastAsia"/>
              </w:rPr>
              <w:t>22.7</w:t>
            </w:r>
          </w:p>
        </w:tc>
        <w:tc>
          <w:tcPr>
            <w:tcW w:w="1276" w:type="dxa"/>
            <w:vAlign w:val="center"/>
          </w:tcPr>
          <w:p w14:paraId="484C8DE5">
            <w:pPr>
              <w:pStyle w:val="48"/>
            </w:pPr>
            <w:r>
              <w:t>37.6</w:t>
            </w:r>
          </w:p>
        </w:tc>
        <w:tc>
          <w:tcPr>
            <w:tcW w:w="1134" w:type="dxa"/>
            <w:vAlign w:val="center"/>
          </w:tcPr>
          <w:p w14:paraId="1AED43A1">
            <w:pPr>
              <w:pStyle w:val="48"/>
            </w:pPr>
            <w:r>
              <w:rPr>
                <w:rFonts w:hint="eastAsia"/>
              </w:rPr>
              <w:t>22.7</w:t>
            </w:r>
          </w:p>
        </w:tc>
        <w:tc>
          <w:tcPr>
            <w:tcW w:w="1276" w:type="dxa"/>
            <w:vAlign w:val="center"/>
          </w:tcPr>
          <w:p w14:paraId="59F0A5A4">
            <w:pPr>
              <w:pStyle w:val="48"/>
            </w:pPr>
            <w:r>
              <w:t>2159</w:t>
            </w:r>
          </w:p>
        </w:tc>
        <w:tc>
          <w:tcPr>
            <w:tcW w:w="1095" w:type="dxa"/>
            <w:vAlign w:val="center"/>
          </w:tcPr>
          <w:p w14:paraId="1CD2A98C">
            <w:pPr>
              <w:pStyle w:val="48"/>
            </w:pPr>
            <w:r>
              <w:rPr>
                <w:rFonts w:hint="eastAsia"/>
              </w:rPr>
              <w:t>22.7</w:t>
            </w:r>
          </w:p>
        </w:tc>
      </w:tr>
      <w:tr w14:paraId="38DF69A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1810" w:type="dxa"/>
            <w:vAlign w:val="center"/>
          </w:tcPr>
          <w:p w14:paraId="2B4781AF">
            <w:pPr>
              <w:pStyle w:val="48"/>
            </w:pPr>
            <w:r>
              <w:rPr>
                <w:rFonts w:hint="eastAsia"/>
              </w:rPr>
              <w:t>工业</w:t>
            </w:r>
          </w:p>
        </w:tc>
        <w:tc>
          <w:tcPr>
            <w:tcW w:w="1438" w:type="dxa"/>
            <w:vAlign w:val="center"/>
          </w:tcPr>
          <w:p w14:paraId="7776F20C">
            <w:pPr>
              <w:pStyle w:val="48"/>
            </w:pPr>
            <w:r>
              <w:t>450.5</w:t>
            </w:r>
          </w:p>
        </w:tc>
        <w:tc>
          <w:tcPr>
            <w:tcW w:w="1134" w:type="dxa"/>
            <w:vAlign w:val="center"/>
          </w:tcPr>
          <w:p w14:paraId="0D9788B2">
            <w:pPr>
              <w:pStyle w:val="48"/>
            </w:pPr>
            <w:r>
              <w:rPr>
                <w:rFonts w:hint="eastAsia"/>
              </w:rPr>
              <w:t>27.2</w:t>
            </w:r>
          </w:p>
        </w:tc>
        <w:tc>
          <w:tcPr>
            <w:tcW w:w="1276" w:type="dxa"/>
            <w:vAlign w:val="center"/>
          </w:tcPr>
          <w:p w14:paraId="5D702965">
            <w:pPr>
              <w:pStyle w:val="48"/>
            </w:pPr>
            <w:r>
              <w:t>45.1</w:t>
            </w:r>
          </w:p>
        </w:tc>
        <w:tc>
          <w:tcPr>
            <w:tcW w:w="1134" w:type="dxa"/>
            <w:vAlign w:val="center"/>
          </w:tcPr>
          <w:p w14:paraId="0DA282D5">
            <w:pPr>
              <w:pStyle w:val="48"/>
            </w:pPr>
            <w:r>
              <w:rPr>
                <w:rFonts w:hint="eastAsia"/>
              </w:rPr>
              <w:t>27.2</w:t>
            </w:r>
          </w:p>
        </w:tc>
        <w:tc>
          <w:tcPr>
            <w:tcW w:w="1276" w:type="dxa"/>
            <w:vAlign w:val="center"/>
          </w:tcPr>
          <w:p w14:paraId="5631AEC5">
            <w:pPr>
              <w:pStyle w:val="48"/>
            </w:pPr>
            <w:r>
              <w:t>2591</w:t>
            </w:r>
          </w:p>
        </w:tc>
        <w:tc>
          <w:tcPr>
            <w:tcW w:w="1095" w:type="dxa"/>
            <w:vAlign w:val="center"/>
          </w:tcPr>
          <w:p w14:paraId="2CCE67E9">
            <w:pPr>
              <w:pStyle w:val="48"/>
            </w:pPr>
            <w:r>
              <w:rPr>
                <w:rFonts w:hint="eastAsia"/>
              </w:rPr>
              <w:t>27.2</w:t>
            </w:r>
          </w:p>
        </w:tc>
      </w:tr>
      <w:tr w14:paraId="16735F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1810" w:type="dxa"/>
            <w:vAlign w:val="center"/>
          </w:tcPr>
          <w:p w14:paraId="6F59D129">
            <w:pPr>
              <w:pStyle w:val="48"/>
            </w:pPr>
            <w:r>
              <w:rPr>
                <w:rFonts w:hint="eastAsia"/>
              </w:rPr>
              <w:t>未预见</w:t>
            </w:r>
          </w:p>
        </w:tc>
        <w:tc>
          <w:tcPr>
            <w:tcW w:w="1438" w:type="dxa"/>
            <w:vAlign w:val="center"/>
          </w:tcPr>
          <w:p w14:paraId="10B0015F">
            <w:pPr>
              <w:pStyle w:val="48"/>
            </w:pPr>
            <w:r>
              <w:t>78.8</w:t>
            </w:r>
          </w:p>
        </w:tc>
        <w:tc>
          <w:tcPr>
            <w:tcW w:w="1134" w:type="dxa"/>
            <w:vAlign w:val="center"/>
          </w:tcPr>
          <w:p w14:paraId="2D5468EA">
            <w:pPr>
              <w:pStyle w:val="48"/>
            </w:pPr>
            <w:r>
              <w:rPr>
                <w:rFonts w:hint="eastAsia"/>
              </w:rPr>
              <w:t>4.8</w:t>
            </w:r>
          </w:p>
        </w:tc>
        <w:tc>
          <w:tcPr>
            <w:tcW w:w="1276" w:type="dxa"/>
            <w:vAlign w:val="center"/>
          </w:tcPr>
          <w:p w14:paraId="4403E024">
            <w:pPr>
              <w:pStyle w:val="48"/>
            </w:pPr>
            <w:r>
              <w:t>7.9</w:t>
            </w:r>
          </w:p>
        </w:tc>
        <w:tc>
          <w:tcPr>
            <w:tcW w:w="1134" w:type="dxa"/>
            <w:vAlign w:val="center"/>
          </w:tcPr>
          <w:p w14:paraId="4341C328">
            <w:pPr>
              <w:pStyle w:val="48"/>
            </w:pPr>
            <w:r>
              <w:rPr>
                <w:rFonts w:hint="eastAsia"/>
              </w:rPr>
              <w:t>4.8</w:t>
            </w:r>
          </w:p>
        </w:tc>
        <w:tc>
          <w:tcPr>
            <w:tcW w:w="1276" w:type="dxa"/>
            <w:vAlign w:val="center"/>
          </w:tcPr>
          <w:p w14:paraId="1DC356DB">
            <w:pPr>
              <w:pStyle w:val="48"/>
            </w:pPr>
            <w:r>
              <w:t>453</w:t>
            </w:r>
          </w:p>
        </w:tc>
        <w:tc>
          <w:tcPr>
            <w:tcW w:w="1095" w:type="dxa"/>
            <w:vAlign w:val="center"/>
          </w:tcPr>
          <w:p w14:paraId="51EE73CA">
            <w:pPr>
              <w:pStyle w:val="48"/>
            </w:pPr>
            <w:r>
              <w:rPr>
                <w:rFonts w:hint="eastAsia"/>
              </w:rPr>
              <w:t>4.8</w:t>
            </w:r>
          </w:p>
        </w:tc>
      </w:tr>
      <w:tr w14:paraId="4C4150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1810" w:type="dxa"/>
            <w:vAlign w:val="center"/>
          </w:tcPr>
          <w:p w14:paraId="7777A4B2">
            <w:pPr>
              <w:pStyle w:val="48"/>
            </w:pPr>
            <w:r>
              <w:rPr>
                <w:rFonts w:hint="eastAsia"/>
              </w:rPr>
              <w:t>合计</w:t>
            </w:r>
          </w:p>
        </w:tc>
        <w:tc>
          <w:tcPr>
            <w:tcW w:w="1438" w:type="dxa"/>
            <w:vAlign w:val="center"/>
          </w:tcPr>
          <w:p w14:paraId="4D2E057B">
            <w:pPr>
              <w:pStyle w:val="48"/>
            </w:pPr>
            <w:r>
              <w:t>1655.8</w:t>
            </w:r>
          </w:p>
        </w:tc>
        <w:tc>
          <w:tcPr>
            <w:tcW w:w="1134" w:type="dxa"/>
            <w:vAlign w:val="center"/>
          </w:tcPr>
          <w:p w14:paraId="4A6B3807">
            <w:pPr>
              <w:pStyle w:val="48"/>
            </w:pPr>
            <w:r>
              <w:rPr>
                <w:rFonts w:hint="eastAsia"/>
              </w:rPr>
              <w:t>100</w:t>
            </w:r>
          </w:p>
        </w:tc>
        <w:tc>
          <w:tcPr>
            <w:tcW w:w="1276" w:type="dxa"/>
            <w:vAlign w:val="center"/>
          </w:tcPr>
          <w:p w14:paraId="35655DD8">
            <w:pPr>
              <w:pStyle w:val="48"/>
            </w:pPr>
            <w:r>
              <w:t>165.7</w:t>
            </w:r>
          </w:p>
        </w:tc>
        <w:tc>
          <w:tcPr>
            <w:tcW w:w="1134" w:type="dxa"/>
            <w:vAlign w:val="center"/>
          </w:tcPr>
          <w:p w14:paraId="27B51585">
            <w:pPr>
              <w:pStyle w:val="48"/>
            </w:pPr>
            <w:r>
              <w:rPr>
                <w:rFonts w:hint="eastAsia"/>
              </w:rPr>
              <w:t>100</w:t>
            </w:r>
          </w:p>
        </w:tc>
        <w:tc>
          <w:tcPr>
            <w:tcW w:w="1276" w:type="dxa"/>
            <w:vAlign w:val="center"/>
          </w:tcPr>
          <w:p w14:paraId="26F336DA">
            <w:pPr>
              <w:pStyle w:val="48"/>
            </w:pPr>
            <w:r>
              <w:t>9521</w:t>
            </w:r>
          </w:p>
        </w:tc>
        <w:tc>
          <w:tcPr>
            <w:tcW w:w="1095" w:type="dxa"/>
            <w:vAlign w:val="center"/>
          </w:tcPr>
          <w:p w14:paraId="24B8F835">
            <w:pPr>
              <w:pStyle w:val="48"/>
            </w:pPr>
            <w:r>
              <w:rPr>
                <w:rFonts w:hint="eastAsia"/>
              </w:rPr>
              <w:t>100</w:t>
            </w:r>
          </w:p>
        </w:tc>
      </w:tr>
    </w:tbl>
    <w:p w14:paraId="549FF137">
      <w:pPr>
        <w:pStyle w:val="17"/>
        <w:spacing w:line="580" w:lineRule="exact"/>
        <w:ind w:firstLine="560" w:firstLineChars="200"/>
        <w:textAlignment w:val="baseline"/>
        <w:rPr>
          <w:szCs w:val="28"/>
        </w:rPr>
      </w:pPr>
      <w:bookmarkStart w:id="75" w:name="_Toc243101032"/>
      <w:r>
        <w:rPr>
          <w:rFonts w:hint="eastAsia"/>
          <w:szCs w:val="28"/>
        </w:rPr>
        <w:t>(四)燃气输配管网规划</w:t>
      </w:r>
      <w:bookmarkEnd w:id="75"/>
    </w:p>
    <w:p w14:paraId="4CDDCD40">
      <w:pPr>
        <w:pStyle w:val="17"/>
        <w:spacing w:line="580" w:lineRule="exact"/>
        <w:ind w:firstLine="560" w:firstLineChars="200"/>
        <w:textAlignment w:val="baseline"/>
        <w:rPr>
          <w:szCs w:val="28"/>
        </w:rPr>
      </w:pPr>
      <w:r>
        <w:rPr>
          <w:rFonts w:hint="eastAsia"/>
          <w:szCs w:val="28"/>
        </w:rPr>
        <w:t>规划陵川县城燃气输配以中低压二级系统为主，管网的布置设计应严格按照《城镇燃气设计规范》的要求，保证燃气管道与建、构筑物间足够的安全距离。</w:t>
      </w:r>
    </w:p>
    <w:p w14:paraId="1C6EABB0">
      <w:pPr>
        <w:pStyle w:val="17"/>
        <w:spacing w:line="580" w:lineRule="exact"/>
        <w:ind w:firstLine="560" w:firstLineChars="200"/>
        <w:textAlignment w:val="baseline"/>
        <w:rPr>
          <w:szCs w:val="28"/>
        </w:rPr>
      </w:pPr>
      <w:r>
        <w:rPr>
          <w:rFonts w:hint="eastAsia"/>
          <w:szCs w:val="28"/>
        </w:rPr>
        <w:t>规划区中压燃气管沿规划城市道路环网布置。</w:t>
      </w:r>
    </w:p>
    <w:p w14:paraId="55468994">
      <w:pPr>
        <w:pStyle w:val="17"/>
        <w:spacing w:line="580" w:lineRule="exact"/>
        <w:ind w:firstLine="560" w:firstLineChars="200"/>
        <w:textAlignment w:val="baseline"/>
        <w:rPr>
          <w:szCs w:val="28"/>
        </w:rPr>
      </w:pPr>
      <w:r>
        <w:rPr>
          <w:rFonts w:hint="eastAsia"/>
          <w:szCs w:val="28"/>
        </w:rPr>
        <w:t>本次规划共设置2</w:t>
      </w:r>
      <w:r>
        <w:rPr>
          <w:szCs w:val="28"/>
        </w:rPr>
        <w:t>3</w:t>
      </w:r>
      <w:r>
        <w:rPr>
          <w:rFonts w:hint="eastAsia"/>
          <w:szCs w:val="28"/>
        </w:rPr>
        <w:t>座中低压调压站。</w:t>
      </w:r>
    </w:p>
    <w:p w14:paraId="22728A43">
      <w:pPr>
        <w:pStyle w:val="38"/>
        <w:numPr>
          <w:ilvl w:val="0"/>
          <w:numId w:val="10"/>
        </w:numPr>
        <w:spacing w:before="0" w:beforeLines="0" w:after="0" w:afterLines="0" w:line="580" w:lineRule="exact"/>
        <w:rPr>
          <w:rFonts w:ascii="黑体" w:hAnsi="黑体"/>
          <w:b/>
        </w:rPr>
      </w:pPr>
      <w:bookmarkStart w:id="76" w:name="_Toc528317050"/>
      <w:bookmarkStart w:id="77" w:name="_Toc402516197"/>
      <w:r>
        <w:rPr>
          <w:rFonts w:hint="eastAsia" w:ascii="黑体" w:hAnsi="黑体"/>
          <w:b/>
        </w:rPr>
        <w:t>供热工程规划</w:t>
      </w:r>
      <w:bookmarkEnd w:id="76"/>
      <w:bookmarkEnd w:id="77"/>
    </w:p>
    <w:p w14:paraId="10D8CA05">
      <w:pPr>
        <w:pStyle w:val="17"/>
        <w:spacing w:line="580" w:lineRule="exact"/>
        <w:ind w:firstLine="560" w:firstLineChars="200"/>
        <w:textAlignment w:val="baseline"/>
        <w:rPr>
          <w:szCs w:val="28"/>
        </w:rPr>
      </w:pPr>
      <w:bookmarkStart w:id="78" w:name="_Toc243101034"/>
      <w:r>
        <w:rPr>
          <w:rFonts w:hint="eastAsia"/>
          <w:szCs w:val="28"/>
        </w:rPr>
        <w:t>(一)热负荷估算</w:t>
      </w:r>
      <w:bookmarkEnd w:id="78"/>
    </w:p>
    <w:p w14:paraId="2481A604">
      <w:pPr>
        <w:pStyle w:val="17"/>
        <w:spacing w:line="580" w:lineRule="exact"/>
        <w:ind w:firstLine="560" w:firstLineChars="200"/>
        <w:textAlignment w:val="baseline"/>
        <w:rPr>
          <w:szCs w:val="28"/>
        </w:rPr>
      </w:pPr>
      <w:r>
        <w:rPr>
          <w:rFonts w:hint="eastAsia"/>
          <w:szCs w:val="28"/>
        </w:rPr>
        <w:t>1、热指标选取</w:t>
      </w:r>
    </w:p>
    <w:p w14:paraId="0BE55D4D">
      <w:pPr>
        <w:pStyle w:val="17"/>
        <w:spacing w:line="580" w:lineRule="exact"/>
        <w:ind w:firstLine="560" w:firstLineChars="200"/>
        <w:textAlignment w:val="baseline"/>
        <w:rPr>
          <w:szCs w:val="28"/>
        </w:rPr>
      </w:pPr>
      <w:r>
        <w:rPr>
          <w:rFonts w:hint="eastAsia"/>
          <w:szCs w:val="28"/>
        </w:rPr>
        <w:t>规划建筑综合热指标为54W/m</w:t>
      </w:r>
      <w:r>
        <w:rPr>
          <w:rFonts w:hint="eastAsia"/>
          <w:szCs w:val="28"/>
          <w:vertAlign w:val="superscript"/>
        </w:rPr>
        <w:t>2</w:t>
      </w:r>
      <w:r>
        <w:rPr>
          <w:rFonts w:hint="eastAsia"/>
          <w:szCs w:val="28"/>
        </w:rPr>
        <w:t>（含生活热水指标）。</w:t>
      </w:r>
    </w:p>
    <w:p w14:paraId="4E6EB467">
      <w:pPr>
        <w:pStyle w:val="17"/>
        <w:numPr>
          <w:ilvl w:val="0"/>
          <w:numId w:val="11"/>
        </w:numPr>
        <w:spacing w:line="580" w:lineRule="exact"/>
        <w:textAlignment w:val="baseline"/>
        <w:rPr>
          <w:szCs w:val="28"/>
        </w:rPr>
      </w:pPr>
      <w:r>
        <w:rPr>
          <w:rFonts w:hint="eastAsia"/>
          <w:szCs w:val="28"/>
        </w:rPr>
        <w:t>热负荷估算</w:t>
      </w:r>
    </w:p>
    <w:p w14:paraId="14AE9998">
      <w:pPr>
        <w:pStyle w:val="17"/>
        <w:spacing w:line="580" w:lineRule="exact"/>
        <w:ind w:firstLine="560" w:firstLineChars="200"/>
        <w:textAlignment w:val="baseline"/>
        <w:rPr>
          <w:szCs w:val="28"/>
        </w:rPr>
      </w:pPr>
      <w:r>
        <w:rPr>
          <w:rFonts w:hint="eastAsia"/>
          <w:szCs w:val="28"/>
        </w:rPr>
        <w:t>根据规划用地布局，规划集中供热普及率为90%，则根据热指标计算得到总热负荷为</w:t>
      </w:r>
      <w:r>
        <w:rPr>
          <w:szCs w:val="28"/>
        </w:rPr>
        <w:t>558</w:t>
      </w:r>
      <w:r>
        <w:rPr>
          <w:rFonts w:hint="eastAsia"/>
          <w:szCs w:val="28"/>
        </w:rPr>
        <w:t>MW。</w:t>
      </w:r>
      <w:bookmarkStart w:id="79" w:name="_Toc243101035"/>
    </w:p>
    <w:p w14:paraId="7A772B7F">
      <w:pPr>
        <w:pStyle w:val="17"/>
        <w:spacing w:line="580" w:lineRule="exact"/>
        <w:ind w:firstLine="0"/>
        <w:jc w:val="center"/>
        <w:textAlignment w:val="baseline"/>
        <w:rPr>
          <w:b/>
          <w:szCs w:val="28"/>
        </w:rPr>
      </w:pPr>
      <w:r>
        <w:rPr>
          <w:rFonts w:hint="eastAsia"/>
          <w:b/>
          <w:szCs w:val="28"/>
        </w:rPr>
        <w:t>表13  城南新区供热采暖建筑面积估算一览表</w:t>
      </w:r>
    </w:p>
    <w:tbl>
      <w:tblPr>
        <w:tblStyle w:val="21"/>
        <w:tblW w:w="0" w:type="auto"/>
        <w:tblInd w:w="0" w:type="dxa"/>
        <w:tblLayout w:type="fixed"/>
        <w:tblCellMar>
          <w:top w:w="0" w:type="dxa"/>
          <w:left w:w="108" w:type="dxa"/>
          <w:bottom w:w="0" w:type="dxa"/>
          <w:right w:w="108" w:type="dxa"/>
        </w:tblCellMar>
      </w:tblPr>
      <w:tblGrid>
        <w:gridCol w:w="1226"/>
        <w:gridCol w:w="1573"/>
        <w:gridCol w:w="2266"/>
        <w:gridCol w:w="1876"/>
        <w:gridCol w:w="1834"/>
      </w:tblGrid>
      <w:tr w14:paraId="5680336E">
        <w:tblPrEx>
          <w:tblCellMar>
            <w:top w:w="0" w:type="dxa"/>
            <w:left w:w="108" w:type="dxa"/>
            <w:bottom w:w="0" w:type="dxa"/>
            <w:right w:w="108" w:type="dxa"/>
          </w:tblCellMar>
        </w:tblPrEx>
        <w:trPr>
          <w:trHeight w:val="377" w:hRule="atLeast"/>
        </w:trPr>
        <w:tc>
          <w:tcPr>
            <w:tcW w:w="1226" w:type="dxa"/>
            <w:tcBorders>
              <w:top w:val="single" w:color="auto" w:sz="4" w:space="0"/>
              <w:left w:val="single" w:color="auto" w:sz="4" w:space="0"/>
              <w:bottom w:val="single" w:color="auto" w:sz="4" w:space="0"/>
              <w:right w:val="single" w:color="auto" w:sz="4" w:space="0"/>
            </w:tcBorders>
            <w:vAlign w:val="center"/>
          </w:tcPr>
          <w:p w14:paraId="7480C43C">
            <w:pPr>
              <w:pStyle w:val="48"/>
            </w:pPr>
            <w:r>
              <w:rPr>
                <w:rFonts w:hint="eastAsia"/>
              </w:rPr>
              <w:t>供热区</w:t>
            </w:r>
          </w:p>
        </w:tc>
        <w:tc>
          <w:tcPr>
            <w:tcW w:w="1573" w:type="dxa"/>
            <w:tcBorders>
              <w:top w:val="single" w:color="auto" w:sz="4" w:space="0"/>
              <w:left w:val="single" w:color="auto" w:sz="4" w:space="0"/>
              <w:bottom w:val="single" w:color="auto" w:sz="4" w:space="0"/>
              <w:right w:val="single" w:color="auto" w:sz="4" w:space="0"/>
            </w:tcBorders>
            <w:vAlign w:val="center"/>
          </w:tcPr>
          <w:p w14:paraId="1F48A024">
            <w:pPr>
              <w:pStyle w:val="48"/>
            </w:pPr>
            <w:r>
              <w:rPr>
                <w:rFonts w:hint="eastAsia"/>
              </w:rPr>
              <w:t>用地类别</w:t>
            </w:r>
          </w:p>
        </w:tc>
        <w:tc>
          <w:tcPr>
            <w:tcW w:w="2266" w:type="dxa"/>
            <w:tcBorders>
              <w:top w:val="single" w:color="auto" w:sz="4" w:space="0"/>
              <w:left w:val="nil"/>
              <w:bottom w:val="single" w:color="auto" w:sz="4" w:space="0"/>
              <w:right w:val="single" w:color="auto" w:sz="4" w:space="0"/>
            </w:tcBorders>
            <w:vAlign w:val="center"/>
          </w:tcPr>
          <w:p w14:paraId="592C2F9B">
            <w:pPr>
              <w:pStyle w:val="48"/>
            </w:pPr>
            <w:r>
              <w:rPr>
                <w:rFonts w:hint="eastAsia"/>
              </w:rPr>
              <w:t>总用地面积</w:t>
            </w:r>
          </w:p>
          <w:p w14:paraId="1AFBC398">
            <w:pPr>
              <w:pStyle w:val="48"/>
            </w:pPr>
            <w:r>
              <w:rPr>
                <w:rFonts w:hint="eastAsia"/>
              </w:rPr>
              <w:t>（万㎡）</w:t>
            </w:r>
          </w:p>
        </w:tc>
        <w:tc>
          <w:tcPr>
            <w:tcW w:w="1876" w:type="dxa"/>
            <w:tcBorders>
              <w:top w:val="single" w:color="auto" w:sz="4" w:space="0"/>
              <w:left w:val="nil"/>
              <w:bottom w:val="single" w:color="auto" w:sz="4" w:space="0"/>
              <w:right w:val="single" w:color="auto" w:sz="4" w:space="0"/>
            </w:tcBorders>
            <w:vAlign w:val="center"/>
          </w:tcPr>
          <w:p w14:paraId="6AAFD4C8">
            <w:pPr>
              <w:pStyle w:val="48"/>
            </w:pPr>
            <w:r>
              <w:rPr>
                <w:rFonts w:hint="eastAsia"/>
              </w:rPr>
              <w:t>规划建筑面积（万㎡）</w:t>
            </w:r>
          </w:p>
        </w:tc>
        <w:tc>
          <w:tcPr>
            <w:tcW w:w="1834" w:type="dxa"/>
            <w:tcBorders>
              <w:top w:val="single" w:color="auto" w:sz="4" w:space="0"/>
              <w:left w:val="nil"/>
              <w:bottom w:val="single" w:color="auto" w:sz="4" w:space="0"/>
              <w:right w:val="single" w:color="auto" w:sz="4" w:space="0"/>
            </w:tcBorders>
            <w:vAlign w:val="center"/>
          </w:tcPr>
          <w:p w14:paraId="5F0734E9">
            <w:pPr>
              <w:pStyle w:val="48"/>
            </w:pPr>
            <w:r>
              <w:rPr>
                <w:rFonts w:hint="eastAsia"/>
              </w:rPr>
              <w:t>规划供热建筑面积（万㎡）</w:t>
            </w:r>
          </w:p>
        </w:tc>
      </w:tr>
      <w:tr w14:paraId="2E3C9948">
        <w:tblPrEx>
          <w:tblCellMar>
            <w:top w:w="0" w:type="dxa"/>
            <w:left w:w="108" w:type="dxa"/>
            <w:bottom w:w="0" w:type="dxa"/>
            <w:right w:w="108" w:type="dxa"/>
          </w:tblCellMar>
        </w:tblPrEx>
        <w:trPr>
          <w:trHeight w:val="377" w:hRule="atLeast"/>
        </w:trPr>
        <w:tc>
          <w:tcPr>
            <w:tcW w:w="1226" w:type="dxa"/>
            <w:vMerge w:val="restart"/>
            <w:tcBorders>
              <w:left w:val="single" w:color="auto" w:sz="4" w:space="0"/>
              <w:right w:val="single" w:color="auto" w:sz="4" w:space="0"/>
            </w:tcBorders>
            <w:vAlign w:val="center"/>
          </w:tcPr>
          <w:p w14:paraId="53B6EE35">
            <w:pPr>
              <w:pStyle w:val="48"/>
            </w:pPr>
            <w:r>
              <w:rPr>
                <w:rFonts w:hint="eastAsia"/>
              </w:rPr>
              <w:t>主城区</w:t>
            </w:r>
          </w:p>
        </w:tc>
        <w:tc>
          <w:tcPr>
            <w:tcW w:w="1573" w:type="dxa"/>
            <w:tcBorders>
              <w:left w:val="single" w:color="auto" w:sz="4" w:space="0"/>
              <w:bottom w:val="single" w:color="auto" w:sz="4" w:space="0"/>
              <w:right w:val="single" w:color="auto" w:sz="4" w:space="0"/>
            </w:tcBorders>
            <w:vAlign w:val="center"/>
          </w:tcPr>
          <w:p w14:paraId="1FA23288">
            <w:pPr>
              <w:pStyle w:val="48"/>
            </w:pPr>
            <w:r>
              <w:rPr>
                <w:rFonts w:hint="eastAsia"/>
              </w:rPr>
              <w:t>居住用地</w:t>
            </w:r>
          </w:p>
        </w:tc>
        <w:tc>
          <w:tcPr>
            <w:tcW w:w="2266" w:type="dxa"/>
            <w:tcBorders>
              <w:left w:val="nil"/>
              <w:bottom w:val="single" w:color="auto" w:sz="4" w:space="0"/>
              <w:right w:val="single" w:color="auto" w:sz="4" w:space="0"/>
            </w:tcBorders>
            <w:vAlign w:val="center"/>
          </w:tcPr>
          <w:p w14:paraId="5036C3A8">
            <w:pPr>
              <w:pStyle w:val="48"/>
            </w:pPr>
            <w:r>
              <w:t>401.32</w:t>
            </w:r>
          </w:p>
        </w:tc>
        <w:tc>
          <w:tcPr>
            <w:tcW w:w="1876" w:type="dxa"/>
            <w:tcBorders>
              <w:left w:val="nil"/>
              <w:bottom w:val="single" w:color="auto" w:sz="4" w:space="0"/>
              <w:right w:val="single" w:color="auto" w:sz="4" w:space="0"/>
            </w:tcBorders>
            <w:vAlign w:val="center"/>
          </w:tcPr>
          <w:p w14:paraId="47A9C37F">
            <w:pPr>
              <w:pStyle w:val="48"/>
            </w:pPr>
            <w:r>
              <w:t>601.98</w:t>
            </w:r>
          </w:p>
        </w:tc>
        <w:tc>
          <w:tcPr>
            <w:tcW w:w="1834" w:type="dxa"/>
            <w:tcBorders>
              <w:left w:val="nil"/>
              <w:bottom w:val="single" w:color="auto" w:sz="4" w:space="0"/>
              <w:right w:val="single" w:color="auto" w:sz="4" w:space="0"/>
            </w:tcBorders>
            <w:vAlign w:val="center"/>
          </w:tcPr>
          <w:p w14:paraId="6A4599BF">
            <w:pPr>
              <w:pStyle w:val="48"/>
            </w:pPr>
            <w:r>
              <w:t>541.78</w:t>
            </w:r>
          </w:p>
        </w:tc>
      </w:tr>
      <w:tr w14:paraId="595CFB2A">
        <w:tblPrEx>
          <w:tblCellMar>
            <w:top w:w="0" w:type="dxa"/>
            <w:left w:w="108" w:type="dxa"/>
            <w:bottom w:w="0" w:type="dxa"/>
            <w:right w:w="108" w:type="dxa"/>
          </w:tblCellMar>
        </w:tblPrEx>
        <w:trPr>
          <w:trHeight w:val="377" w:hRule="atLeast"/>
        </w:trPr>
        <w:tc>
          <w:tcPr>
            <w:tcW w:w="1226" w:type="dxa"/>
            <w:vMerge w:val="continue"/>
            <w:tcBorders>
              <w:left w:val="single" w:color="auto" w:sz="4" w:space="0"/>
              <w:right w:val="single" w:color="auto" w:sz="4" w:space="0"/>
            </w:tcBorders>
            <w:vAlign w:val="center"/>
          </w:tcPr>
          <w:p w14:paraId="5DB35A6A">
            <w:pPr>
              <w:pStyle w:val="48"/>
            </w:pPr>
          </w:p>
        </w:tc>
        <w:tc>
          <w:tcPr>
            <w:tcW w:w="1573" w:type="dxa"/>
            <w:tcBorders>
              <w:top w:val="single" w:color="auto" w:sz="4" w:space="0"/>
              <w:left w:val="single" w:color="auto" w:sz="4" w:space="0"/>
              <w:bottom w:val="single" w:color="auto" w:sz="4" w:space="0"/>
              <w:right w:val="single" w:color="auto" w:sz="4" w:space="0"/>
            </w:tcBorders>
            <w:vAlign w:val="center"/>
          </w:tcPr>
          <w:p w14:paraId="3F3C1B81">
            <w:pPr>
              <w:pStyle w:val="48"/>
            </w:pPr>
            <w:r>
              <w:rPr>
                <w:rFonts w:hint="eastAsia"/>
              </w:rPr>
              <w:t>公共服务用地</w:t>
            </w:r>
          </w:p>
        </w:tc>
        <w:tc>
          <w:tcPr>
            <w:tcW w:w="2266" w:type="dxa"/>
            <w:tcBorders>
              <w:top w:val="single" w:color="auto" w:sz="4" w:space="0"/>
              <w:left w:val="nil"/>
              <w:bottom w:val="single" w:color="auto" w:sz="4" w:space="0"/>
              <w:right w:val="single" w:color="auto" w:sz="4" w:space="0"/>
            </w:tcBorders>
            <w:vAlign w:val="center"/>
          </w:tcPr>
          <w:p w14:paraId="6271FA69">
            <w:pPr>
              <w:pStyle w:val="48"/>
            </w:pPr>
            <w:r>
              <w:t>219.84</w:t>
            </w:r>
          </w:p>
        </w:tc>
        <w:tc>
          <w:tcPr>
            <w:tcW w:w="1876" w:type="dxa"/>
            <w:tcBorders>
              <w:top w:val="single" w:color="auto" w:sz="4" w:space="0"/>
              <w:left w:val="nil"/>
              <w:bottom w:val="single" w:color="auto" w:sz="4" w:space="0"/>
              <w:right w:val="single" w:color="auto" w:sz="4" w:space="0"/>
            </w:tcBorders>
            <w:vAlign w:val="center"/>
          </w:tcPr>
          <w:p w14:paraId="133AE81A">
            <w:pPr>
              <w:pStyle w:val="48"/>
            </w:pPr>
            <w:r>
              <w:t>456.02</w:t>
            </w:r>
          </w:p>
        </w:tc>
        <w:tc>
          <w:tcPr>
            <w:tcW w:w="1834" w:type="dxa"/>
            <w:tcBorders>
              <w:top w:val="single" w:color="auto" w:sz="4" w:space="0"/>
              <w:left w:val="nil"/>
              <w:bottom w:val="single" w:color="auto" w:sz="4" w:space="0"/>
              <w:right w:val="single" w:color="auto" w:sz="4" w:space="0"/>
            </w:tcBorders>
            <w:vAlign w:val="center"/>
          </w:tcPr>
          <w:p w14:paraId="05346CB9">
            <w:pPr>
              <w:pStyle w:val="48"/>
            </w:pPr>
            <w:r>
              <w:t>410.42</w:t>
            </w:r>
          </w:p>
        </w:tc>
      </w:tr>
      <w:tr w14:paraId="63334F47">
        <w:tblPrEx>
          <w:tblCellMar>
            <w:top w:w="0" w:type="dxa"/>
            <w:left w:w="108" w:type="dxa"/>
            <w:bottom w:w="0" w:type="dxa"/>
            <w:right w:w="108" w:type="dxa"/>
          </w:tblCellMar>
        </w:tblPrEx>
        <w:trPr>
          <w:trHeight w:val="377" w:hRule="atLeast"/>
        </w:trPr>
        <w:tc>
          <w:tcPr>
            <w:tcW w:w="1226" w:type="dxa"/>
            <w:vMerge w:val="continue"/>
            <w:tcBorders>
              <w:left w:val="single" w:color="auto" w:sz="4" w:space="0"/>
              <w:bottom w:val="single" w:color="auto" w:sz="4" w:space="0"/>
              <w:right w:val="single" w:color="auto" w:sz="4" w:space="0"/>
            </w:tcBorders>
            <w:vAlign w:val="center"/>
          </w:tcPr>
          <w:p w14:paraId="1E70FC6B">
            <w:pPr>
              <w:pStyle w:val="48"/>
            </w:pPr>
          </w:p>
        </w:tc>
        <w:tc>
          <w:tcPr>
            <w:tcW w:w="1573" w:type="dxa"/>
            <w:tcBorders>
              <w:top w:val="single" w:color="auto" w:sz="4" w:space="0"/>
              <w:left w:val="single" w:color="auto" w:sz="4" w:space="0"/>
              <w:bottom w:val="single" w:color="auto" w:sz="4" w:space="0"/>
              <w:right w:val="single" w:color="auto" w:sz="4" w:space="0"/>
            </w:tcBorders>
            <w:vAlign w:val="center"/>
          </w:tcPr>
          <w:p w14:paraId="76FF3C58">
            <w:pPr>
              <w:pStyle w:val="48"/>
            </w:pPr>
            <w:r>
              <w:rPr>
                <w:rFonts w:hint="eastAsia"/>
              </w:rPr>
              <w:t>工业用地</w:t>
            </w:r>
          </w:p>
        </w:tc>
        <w:tc>
          <w:tcPr>
            <w:tcW w:w="2266" w:type="dxa"/>
            <w:tcBorders>
              <w:top w:val="single" w:color="auto" w:sz="4" w:space="0"/>
              <w:left w:val="nil"/>
              <w:bottom w:val="single" w:color="auto" w:sz="4" w:space="0"/>
              <w:right w:val="single" w:color="auto" w:sz="4" w:space="0"/>
            </w:tcBorders>
            <w:vAlign w:val="center"/>
          </w:tcPr>
          <w:p w14:paraId="04CB297C">
            <w:pPr>
              <w:pStyle w:val="48"/>
            </w:pPr>
            <w:r>
              <w:t>36.06</w:t>
            </w:r>
          </w:p>
        </w:tc>
        <w:tc>
          <w:tcPr>
            <w:tcW w:w="1876" w:type="dxa"/>
            <w:tcBorders>
              <w:top w:val="single" w:color="auto" w:sz="4" w:space="0"/>
              <w:left w:val="nil"/>
              <w:bottom w:val="single" w:color="auto" w:sz="4" w:space="0"/>
              <w:right w:val="single" w:color="auto" w:sz="4" w:space="0"/>
            </w:tcBorders>
            <w:vAlign w:val="center"/>
          </w:tcPr>
          <w:p w14:paraId="7638277B">
            <w:pPr>
              <w:pStyle w:val="48"/>
            </w:pPr>
            <w:r>
              <w:t>94.3</w:t>
            </w:r>
          </w:p>
        </w:tc>
        <w:tc>
          <w:tcPr>
            <w:tcW w:w="1834" w:type="dxa"/>
            <w:tcBorders>
              <w:top w:val="single" w:color="auto" w:sz="4" w:space="0"/>
              <w:left w:val="nil"/>
              <w:bottom w:val="single" w:color="auto" w:sz="4" w:space="0"/>
              <w:right w:val="single" w:color="auto" w:sz="4" w:space="0"/>
            </w:tcBorders>
            <w:vAlign w:val="center"/>
          </w:tcPr>
          <w:p w14:paraId="23A0E5C8">
            <w:pPr>
              <w:pStyle w:val="48"/>
            </w:pPr>
            <w:r>
              <w:t>84.87</w:t>
            </w:r>
          </w:p>
        </w:tc>
      </w:tr>
      <w:tr w14:paraId="4CE7BFF6">
        <w:tblPrEx>
          <w:tblCellMar>
            <w:top w:w="0" w:type="dxa"/>
            <w:left w:w="108" w:type="dxa"/>
            <w:bottom w:w="0" w:type="dxa"/>
            <w:right w:w="108" w:type="dxa"/>
          </w:tblCellMar>
        </w:tblPrEx>
        <w:trPr>
          <w:trHeight w:val="377" w:hRule="atLeast"/>
        </w:trPr>
        <w:tc>
          <w:tcPr>
            <w:tcW w:w="1226" w:type="dxa"/>
            <w:tcBorders>
              <w:top w:val="single" w:color="auto" w:sz="4" w:space="0"/>
              <w:left w:val="single" w:color="auto" w:sz="4" w:space="0"/>
              <w:bottom w:val="single" w:color="auto" w:sz="4" w:space="0"/>
              <w:right w:val="single" w:color="auto" w:sz="4" w:space="0"/>
            </w:tcBorders>
            <w:vAlign w:val="center"/>
          </w:tcPr>
          <w:p w14:paraId="11DEF702">
            <w:pPr>
              <w:pStyle w:val="48"/>
            </w:pPr>
            <w:r>
              <w:rPr>
                <w:rFonts w:hint="eastAsia"/>
              </w:rPr>
              <w:t>合计</w:t>
            </w:r>
          </w:p>
        </w:tc>
        <w:tc>
          <w:tcPr>
            <w:tcW w:w="1573" w:type="dxa"/>
            <w:tcBorders>
              <w:top w:val="single" w:color="auto" w:sz="4" w:space="0"/>
              <w:left w:val="single" w:color="auto" w:sz="4" w:space="0"/>
              <w:bottom w:val="single" w:color="auto" w:sz="4" w:space="0"/>
              <w:right w:val="single" w:color="auto" w:sz="4" w:space="0"/>
            </w:tcBorders>
            <w:vAlign w:val="center"/>
          </w:tcPr>
          <w:p w14:paraId="7EA61A3A">
            <w:pPr>
              <w:pStyle w:val="48"/>
            </w:pPr>
          </w:p>
        </w:tc>
        <w:tc>
          <w:tcPr>
            <w:tcW w:w="2266" w:type="dxa"/>
            <w:tcBorders>
              <w:top w:val="nil"/>
              <w:left w:val="nil"/>
              <w:bottom w:val="single" w:color="auto" w:sz="4" w:space="0"/>
              <w:right w:val="single" w:color="auto" w:sz="4" w:space="0"/>
            </w:tcBorders>
            <w:vAlign w:val="center"/>
          </w:tcPr>
          <w:p w14:paraId="1DDECACA">
            <w:pPr>
              <w:pStyle w:val="48"/>
            </w:pPr>
          </w:p>
        </w:tc>
        <w:tc>
          <w:tcPr>
            <w:tcW w:w="1876" w:type="dxa"/>
            <w:tcBorders>
              <w:top w:val="nil"/>
              <w:left w:val="nil"/>
              <w:bottom w:val="single" w:color="auto" w:sz="4" w:space="0"/>
              <w:right w:val="single" w:color="auto" w:sz="4" w:space="0"/>
            </w:tcBorders>
            <w:vAlign w:val="center"/>
          </w:tcPr>
          <w:p w14:paraId="27C0C727">
            <w:pPr>
              <w:pStyle w:val="48"/>
            </w:pPr>
          </w:p>
        </w:tc>
        <w:tc>
          <w:tcPr>
            <w:tcW w:w="1834" w:type="dxa"/>
            <w:tcBorders>
              <w:top w:val="nil"/>
              <w:left w:val="nil"/>
              <w:bottom w:val="single" w:color="auto" w:sz="4" w:space="0"/>
              <w:right w:val="single" w:color="auto" w:sz="4" w:space="0"/>
            </w:tcBorders>
            <w:vAlign w:val="center"/>
          </w:tcPr>
          <w:p w14:paraId="69D024C2">
            <w:pPr>
              <w:pStyle w:val="48"/>
            </w:pPr>
            <w:r>
              <w:t>1034.07</w:t>
            </w:r>
          </w:p>
        </w:tc>
      </w:tr>
    </w:tbl>
    <w:p w14:paraId="08414816">
      <w:pPr>
        <w:pStyle w:val="17"/>
        <w:spacing w:line="580" w:lineRule="exact"/>
        <w:ind w:firstLine="560" w:firstLineChars="200"/>
        <w:textAlignment w:val="baseline"/>
        <w:rPr>
          <w:szCs w:val="28"/>
        </w:rPr>
      </w:pPr>
      <w:r>
        <w:rPr>
          <w:rFonts w:hint="eastAsia"/>
          <w:szCs w:val="28"/>
        </w:rPr>
        <w:t>(二)热源规划</w:t>
      </w:r>
      <w:bookmarkEnd w:id="79"/>
    </w:p>
    <w:p w14:paraId="1D0FC3E3">
      <w:pPr>
        <w:pStyle w:val="17"/>
        <w:spacing w:line="580" w:lineRule="exact"/>
        <w:ind w:firstLine="560" w:firstLineChars="200"/>
        <w:textAlignment w:val="baseline"/>
        <w:rPr>
          <w:szCs w:val="28"/>
        </w:rPr>
      </w:pPr>
      <w:r>
        <w:rPr>
          <w:rFonts w:hint="eastAsia"/>
          <w:szCs w:val="28"/>
        </w:rPr>
        <w:t>主城区现状由陵川县德日升热源有限公司的热源厂作为基本热源，规划期末《陵川县县城总体规划》（2011-2030年）规划3座热源厂。近期保留现状热源厂，不再扩大规模，远期将其迁出。至2030年规划南区热源厂负荷为</w:t>
      </w:r>
      <w:r>
        <w:rPr>
          <w:szCs w:val="28"/>
        </w:rPr>
        <w:t>260MW</w:t>
      </w:r>
      <w:r>
        <w:rPr>
          <w:rFonts w:hint="eastAsia"/>
          <w:szCs w:val="28"/>
        </w:rPr>
        <w:t>，规划中区热源厂负荷为</w:t>
      </w:r>
      <w:r>
        <w:rPr>
          <w:szCs w:val="28"/>
        </w:rPr>
        <w:t>1</w:t>
      </w:r>
      <w:r>
        <w:rPr>
          <w:rFonts w:hint="eastAsia"/>
          <w:szCs w:val="28"/>
        </w:rPr>
        <w:t>38</w:t>
      </w:r>
      <w:r>
        <w:rPr>
          <w:szCs w:val="28"/>
        </w:rPr>
        <w:t>MW</w:t>
      </w:r>
      <w:r>
        <w:rPr>
          <w:rFonts w:hint="eastAsia"/>
          <w:szCs w:val="28"/>
        </w:rPr>
        <w:t>，规划北区热源厂负荷为</w:t>
      </w:r>
      <w:r>
        <w:rPr>
          <w:szCs w:val="28"/>
        </w:rPr>
        <w:t>160MW</w:t>
      </w:r>
      <w:r>
        <w:rPr>
          <w:rFonts w:hint="eastAsia"/>
          <w:szCs w:val="28"/>
        </w:rPr>
        <w:t>。符合规划要求。</w:t>
      </w:r>
    </w:p>
    <w:p w14:paraId="5AB6FAF1">
      <w:pPr>
        <w:pStyle w:val="17"/>
        <w:spacing w:line="580" w:lineRule="exact"/>
        <w:ind w:firstLine="560" w:firstLineChars="200"/>
        <w:textAlignment w:val="baseline"/>
        <w:rPr>
          <w:szCs w:val="28"/>
        </w:rPr>
      </w:pPr>
      <w:bookmarkStart w:id="80" w:name="_Toc243101036"/>
      <w:r>
        <w:rPr>
          <w:rFonts w:hint="eastAsia"/>
          <w:szCs w:val="28"/>
        </w:rPr>
        <w:t>(三)热力管网规划</w:t>
      </w:r>
      <w:bookmarkEnd w:id="80"/>
    </w:p>
    <w:p w14:paraId="45446916">
      <w:pPr>
        <w:pStyle w:val="17"/>
        <w:spacing w:line="580" w:lineRule="exact"/>
        <w:ind w:firstLine="560" w:firstLineChars="200"/>
        <w:textAlignment w:val="baseline"/>
        <w:rPr>
          <w:szCs w:val="28"/>
        </w:rPr>
      </w:pPr>
      <w:r>
        <w:rPr>
          <w:rFonts w:hint="eastAsia"/>
          <w:szCs w:val="28"/>
        </w:rPr>
        <w:t>热力管网布置原则：</w:t>
      </w:r>
    </w:p>
    <w:p w14:paraId="4029E60C">
      <w:pPr>
        <w:pStyle w:val="17"/>
        <w:spacing w:line="580" w:lineRule="exact"/>
        <w:ind w:firstLine="560" w:firstLineChars="200"/>
        <w:textAlignment w:val="baseline"/>
        <w:rPr>
          <w:szCs w:val="28"/>
        </w:rPr>
      </w:pPr>
      <w:r>
        <w:rPr>
          <w:rFonts w:hint="eastAsia"/>
          <w:szCs w:val="28"/>
        </w:rPr>
        <w:t>1、热力管道的敷设，尽量与规划道路的建设同步。</w:t>
      </w:r>
    </w:p>
    <w:p w14:paraId="2E913652">
      <w:pPr>
        <w:pStyle w:val="17"/>
        <w:spacing w:line="580" w:lineRule="exact"/>
        <w:ind w:firstLine="560" w:firstLineChars="200"/>
        <w:textAlignment w:val="baseline"/>
        <w:rPr>
          <w:szCs w:val="28"/>
        </w:rPr>
      </w:pPr>
      <w:r>
        <w:rPr>
          <w:rFonts w:hint="eastAsia"/>
          <w:szCs w:val="28"/>
        </w:rPr>
        <w:t>2、热力干管尽可能靠近热负荷密集区。</w:t>
      </w:r>
    </w:p>
    <w:p w14:paraId="26DC8E5E">
      <w:pPr>
        <w:pStyle w:val="17"/>
        <w:spacing w:line="580" w:lineRule="exact"/>
        <w:ind w:firstLine="560" w:firstLineChars="200"/>
        <w:textAlignment w:val="baseline"/>
        <w:rPr>
          <w:szCs w:val="28"/>
        </w:rPr>
      </w:pPr>
      <w:r>
        <w:rPr>
          <w:rFonts w:hint="eastAsia"/>
          <w:szCs w:val="28"/>
        </w:rPr>
        <w:t>3、管网布置力求短直。</w:t>
      </w:r>
    </w:p>
    <w:p w14:paraId="1F289BD0">
      <w:pPr>
        <w:pStyle w:val="17"/>
        <w:spacing w:line="580" w:lineRule="exact"/>
        <w:ind w:firstLine="560" w:firstLineChars="200"/>
        <w:textAlignment w:val="baseline"/>
        <w:rPr>
          <w:szCs w:val="28"/>
        </w:rPr>
      </w:pPr>
      <w:r>
        <w:rPr>
          <w:rFonts w:hint="eastAsia"/>
          <w:szCs w:val="28"/>
        </w:rPr>
        <w:t>4、热力管网的建设要充分考虑近远期相结合，热力管网的设计和布置应以远期为主。</w:t>
      </w:r>
    </w:p>
    <w:p w14:paraId="4456710F">
      <w:pPr>
        <w:pStyle w:val="17"/>
        <w:spacing w:line="580" w:lineRule="exact"/>
        <w:ind w:firstLine="560" w:firstLineChars="200"/>
        <w:textAlignment w:val="baseline"/>
        <w:rPr>
          <w:szCs w:val="28"/>
        </w:rPr>
      </w:pPr>
      <w:r>
        <w:rPr>
          <w:rFonts w:hint="eastAsia"/>
          <w:szCs w:val="28"/>
        </w:rPr>
        <w:t>热水管网采用枝状管网，采用地下敷设。换热站供热面积一般控制在20万m</w:t>
      </w:r>
      <w:r>
        <w:rPr>
          <w:rFonts w:hint="eastAsia"/>
          <w:szCs w:val="28"/>
          <w:vertAlign w:val="superscript"/>
        </w:rPr>
        <w:t>2</w:t>
      </w:r>
      <w:r>
        <w:rPr>
          <w:rFonts w:hint="eastAsia"/>
          <w:szCs w:val="28"/>
        </w:rPr>
        <w:t>。管网采用二次热水管网系统的供热方案，由区域锅炉房将高温热水送至换热站，由换热站进行热交换后，向城市供热。其中一次热网参数采用130/70℃的高温水，二次管网供回水温度为85/60℃。</w:t>
      </w:r>
    </w:p>
    <w:p w14:paraId="77F264ED">
      <w:pPr>
        <w:pStyle w:val="17"/>
        <w:spacing w:line="580" w:lineRule="exact"/>
        <w:ind w:firstLine="560" w:firstLineChars="200"/>
        <w:textAlignment w:val="baseline"/>
        <w:rPr>
          <w:szCs w:val="28"/>
        </w:rPr>
      </w:pPr>
      <w:bookmarkStart w:id="81" w:name="_Toc243101037"/>
      <w:r>
        <w:rPr>
          <w:rFonts w:hint="eastAsia"/>
          <w:szCs w:val="28"/>
        </w:rPr>
        <w:t>(四)换热站</w:t>
      </w:r>
      <w:bookmarkEnd w:id="81"/>
    </w:p>
    <w:p w14:paraId="2F721475">
      <w:pPr>
        <w:pStyle w:val="17"/>
        <w:spacing w:line="580" w:lineRule="exact"/>
        <w:ind w:firstLine="560" w:firstLineChars="200"/>
        <w:textAlignment w:val="baseline"/>
        <w:rPr>
          <w:rFonts w:cs="黑体"/>
          <w:bCs/>
          <w:kern w:val="44"/>
          <w:szCs w:val="28"/>
        </w:rPr>
      </w:pPr>
      <w:r>
        <w:rPr>
          <w:rFonts w:hint="eastAsia"/>
          <w:szCs w:val="28"/>
        </w:rPr>
        <w:t>本次规划共设置3</w:t>
      </w:r>
      <w:r>
        <w:rPr>
          <w:szCs w:val="28"/>
        </w:rPr>
        <w:t>5</w:t>
      </w:r>
      <w:r>
        <w:rPr>
          <w:rFonts w:hint="eastAsia"/>
          <w:szCs w:val="28"/>
        </w:rPr>
        <w:t>座换热站，每座换热站供热面积为20万m</w:t>
      </w:r>
      <w:r>
        <w:rPr>
          <w:rFonts w:hint="eastAsia"/>
          <w:szCs w:val="28"/>
          <w:vertAlign w:val="superscript"/>
        </w:rPr>
        <w:t>2</w:t>
      </w:r>
      <w:r>
        <w:rPr>
          <w:rFonts w:hint="eastAsia"/>
          <w:szCs w:val="28"/>
        </w:rPr>
        <w:t>左右。</w:t>
      </w:r>
    </w:p>
    <w:p w14:paraId="20DE0A8D">
      <w:pPr>
        <w:pStyle w:val="38"/>
        <w:numPr>
          <w:ilvl w:val="0"/>
          <w:numId w:val="10"/>
        </w:numPr>
        <w:spacing w:before="0" w:beforeLines="0" w:after="0" w:afterLines="0" w:line="580" w:lineRule="exact"/>
        <w:rPr>
          <w:rFonts w:ascii="黑体" w:hAnsi="黑体"/>
          <w:b/>
        </w:rPr>
      </w:pPr>
      <w:bookmarkStart w:id="82" w:name="_Toc402516198"/>
      <w:bookmarkStart w:id="83" w:name="_Toc528317051"/>
      <w:r>
        <w:rPr>
          <w:rFonts w:hint="eastAsia" w:ascii="黑体" w:hAnsi="黑体"/>
          <w:b/>
        </w:rPr>
        <w:t>供电工程规划</w:t>
      </w:r>
      <w:bookmarkEnd w:id="82"/>
      <w:bookmarkEnd w:id="83"/>
    </w:p>
    <w:p w14:paraId="6B01028D">
      <w:pPr>
        <w:pStyle w:val="17"/>
        <w:spacing w:line="580" w:lineRule="exact"/>
        <w:ind w:firstLine="562" w:firstLineChars="200"/>
        <w:textAlignment w:val="baseline"/>
        <w:rPr>
          <w:b/>
          <w:szCs w:val="28"/>
        </w:rPr>
      </w:pPr>
      <w:r>
        <w:rPr>
          <w:rFonts w:hint="eastAsia"/>
          <w:b/>
          <w:szCs w:val="28"/>
        </w:rPr>
        <w:t>(一)负荷预测</w:t>
      </w:r>
    </w:p>
    <w:p w14:paraId="6B4741B0">
      <w:pPr>
        <w:pStyle w:val="17"/>
        <w:spacing w:line="580" w:lineRule="exact"/>
        <w:ind w:firstLine="560" w:firstLineChars="200"/>
        <w:textAlignment w:val="baseline"/>
        <w:rPr>
          <w:szCs w:val="28"/>
        </w:rPr>
      </w:pPr>
      <w:r>
        <w:rPr>
          <w:rFonts w:hint="eastAsia"/>
          <w:szCs w:val="28"/>
        </w:rPr>
        <w:t>根据各地块用地性质，采用分类分项负荷密度指标推算规划负荷，详见下表：</w:t>
      </w:r>
    </w:p>
    <w:p w14:paraId="74800A7A">
      <w:pPr>
        <w:pStyle w:val="17"/>
        <w:spacing w:line="580" w:lineRule="exact"/>
        <w:ind w:firstLine="560" w:firstLineChars="200"/>
        <w:textAlignment w:val="baseline"/>
        <w:rPr>
          <w:szCs w:val="28"/>
        </w:rPr>
      </w:pPr>
    </w:p>
    <w:p w14:paraId="59F00327">
      <w:pPr>
        <w:pStyle w:val="17"/>
        <w:spacing w:line="580" w:lineRule="exact"/>
        <w:ind w:firstLine="560" w:firstLineChars="200"/>
        <w:textAlignment w:val="baseline"/>
        <w:rPr>
          <w:szCs w:val="28"/>
        </w:rPr>
      </w:pPr>
    </w:p>
    <w:p w14:paraId="276F7064">
      <w:pPr>
        <w:pStyle w:val="17"/>
        <w:spacing w:line="580" w:lineRule="exact"/>
        <w:ind w:firstLine="560" w:firstLineChars="200"/>
        <w:textAlignment w:val="baseline"/>
        <w:rPr>
          <w:rFonts w:hint="eastAsia"/>
          <w:szCs w:val="28"/>
        </w:rPr>
      </w:pPr>
    </w:p>
    <w:p w14:paraId="06AA77D4">
      <w:pPr>
        <w:spacing w:line="580" w:lineRule="exact"/>
        <w:jc w:val="center"/>
        <w:rPr>
          <w:rFonts w:ascii="宋体" w:hAnsi="宋体"/>
          <w:b/>
          <w:sz w:val="28"/>
          <w:szCs w:val="28"/>
        </w:rPr>
      </w:pPr>
      <w:r>
        <w:rPr>
          <w:rFonts w:hint="eastAsia" w:ascii="宋体" w:hAnsi="宋体"/>
          <w:b/>
          <w:sz w:val="28"/>
          <w:szCs w:val="28"/>
        </w:rPr>
        <w:t>表14  用电负荷指标表</w:t>
      </w:r>
    </w:p>
    <w:tbl>
      <w:tblPr>
        <w:tblStyle w:val="21"/>
        <w:tblW w:w="4824"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856"/>
        <w:gridCol w:w="1369"/>
        <w:gridCol w:w="2165"/>
        <w:gridCol w:w="1462"/>
        <w:gridCol w:w="1462"/>
        <w:gridCol w:w="1450"/>
      </w:tblGrid>
      <w:tr w14:paraId="71021C7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tblHeader/>
          <w:jc w:val="center"/>
        </w:trPr>
        <w:tc>
          <w:tcPr>
            <w:tcW w:w="489" w:type="pct"/>
            <w:shd w:val="clear" w:color="auto" w:fill="auto"/>
            <w:vAlign w:val="center"/>
          </w:tcPr>
          <w:p w14:paraId="35C001EC">
            <w:pPr>
              <w:pStyle w:val="48"/>
            </w:pPr>
            <w:r>
              <w:rPr>
                <w:rFonts w:hint="eastAsia"/>
              </w:rPr>
              <w:t>用地</w:t>
            </w:r>
          </w:p>
          <w:p w14:paraId="12A8DEAE">
            <w:pPr>
              <w:pStyle w:val="48"/>
            </w:pPr>
            <w:r>
              <w:rPr>
                <w:rFonts w:hint="eastAsia"/>
              </w:rPr>
              <w:t>代号</w:t>
            </w:r>
          </w:p>
        </w:tc>
        <w:tc>
          <w:tcPr>
            <w:tcW w:w="2016" w:type="pct"/>
            <w:gridSpan w:val="2"/>
            <w:shd w:val="clear" w:color="auto" w:fill="auto"/>
            <w:vAlign w:val="center"/>
          </w:tcPr>
          <w:p w14:paraId="59F61FB2">
            <w:pPr>
              <w:pStyle w:val="48"/>
            </w:pPr>
            <w:r>
              <w:rPr>
                <w:rFonts w:hint="eastAsia"/>
              </w:rPr>
              <w:t>用地名称</w:t>
            </w:r>
          </w:p>
        </w:tc>
        <w:tc>
          <w:tcPr>
            <w:tcW w:w="834" w:type="pct"/>
            <w:shd w:val="clear" w:color="auto" w:fill="auto"/>
            <w:vAlign w:val="center"/>
          </w:tcPr>
          <w:p w14:paraId="363D2B11">
            <w:pPr>
              <w:pStyle w:val="48"/>
            </w:pPr>
            <w:r>
              <w:rPr>
                <w:rFonts w:hint="eastAsia"/>
              </w:rPr>
              <w:t>用地面积</w:t>
            </w:r>
          </w:p>
          <w:p w14:paraId="263B52C0">
            <w:pPr>
              <w:pStyle w:val="48"/>
            </w:pPr>
            <w:r>
              <w:t>(</w:t>
            </w:r>
            <w:r>
              <w:rPr>
                <w:rFonts w:hint="eastAsia"/>
              </w:rPr>
              <w:t>hm</w:t>
            </w:r>
            <w:r>
              <w:rPr>
                <w:rFonts w:hint="eastAsia"/>
                <w:vertAlign w:val="superscript"/>
              </w:rPr>
              <w:t>2</w:t>
            </w:r>
            <w:r>
              <w:t>)</w:t>
            </w:r>
          </w:p>
        </w:tc>
        <w:tc>
          <w:tcPr>
            <w:tcW w:w="834" w:type="pct"/>
            <w:shd w:val="clear" w:color="auto" w:fill="auto"/>
            <w:vAlign w:val="center"/>
          </w:tcPr>
          <w:p w14:paraId="40264005">
            <w:pPr>
              <w:pStyle w:val="48"/>
            </w:pPr>
            <w:r>
              <w:rPr>
                <w:rFonts w:hint="eastAsia"/>
              </w:rPr>
              <w:t>用电指标</w:t>
            </w:r>
          </w:p>
          <w:p w14:paraId="68152B0C">
            <w:pPr>
              <w:pStyle w:val="48"/>
            </w:pPr>
            <w:r>
              <w:rPr>
                <w:rFonts w:hint="eastAsia"/>
              </w:rPr>
              <w:t>(kW/万m</w:t>
            </w:r>
            <w:r>
              <w:rPr>
                <w:rFonts w:hint="eastAsia"/>
                <w:vertAlign w:val="superscript"/>
              </w:rPr>
              <w:t>2</w:t>
            </w:r>
            <w:r>
              <w:rPr>
                <w:rFonts w:hint="eastAsia"/>
              </w:rPr>
              <w:t>)</w:t>
            </w:r>
          </w:p>
        </w:tc>
        <w:tc>
          <w:tcPr>
            <w:tcW w:w="827" w:type="pct"/>
            <w:shd w:val="clear" w:color="auto" w:fill="auto"/>
            <w:vAlign w:val="center"/>
          </w:tcPr>
          <w:p w14:paraId="6E43888C">
            <w:pPr>
              <w:pStyle w:val="48"/>
            </w:pPr>
            <w:r>
              <w:rPr>
                <w:rFonts w:hint="eastAsia"/>
              </w:rPr>
              <w:t>最大负荷</w:t>
            </w:r>
          </w:p>
          <w:p w14:paraId="2C800EDF">
            <w:pPr>
              <w:pStyle w:val="48"/>
            </w:pPr>
            <w:r>
              <w:t>(kW)</w:t>
            </w:r>
          </w:p>
        </w:tc>
      </w:tr>
      <w:tr w14:paraId="5A489A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shd w:val="clear" w:color="auto" w:fill="auto"/>
            <w:vAlign w:val="bottom"/>
          </w:tcPr>
          <w:p w14:paraId="599C3A5A">
            <w:pPr>
              <w:pStyle w:val="48"/>
            </w:pPr>
            <w:r>
              <w:t>R</w:t>
            </w:r>
          </w:p>
        </w:tc>
        <w:tc>
          <w:tcPr>
            <w:tcW w:w="2016" w:type="pct"/>
            <w:gridSpan w:val="2"/>
            <w:shd w:val="clear" w:color="auto" w:fill="auto"/>
            <w:vAlign w:val="bottom"/>
          </w:tcPr>
          <w:p w14:paraId="4200492A">
            <w:pPr>
              <w:pStyle w:val="48"/>
            </w:pPr>
            <w:r>
              <w:rPr>
                <w:rFonts w:hint="eastAsia"/>
              </w:rPr>
              <w:t>居住用地</w:t>
            </w:r>
          </w:p>
        </w:tc>
        <w:tc>
          <w:tcPr>
            <w:tcW w:w="834" w:type="pct"/>
            <w:shd w:val="clear" w:color="auto" w:fill="auto"/>
            <w:vAlign w:val="bottom"/>
          </w:tcPr>
          <w:p w14:paraId="0C06B47B">
            <w:pPr>
              <w:pStyle w:val="48"/>
            </w:pPr>
            <w:r>
              <w:rPr>
                <w:rFonts w:hint="eastAsia"/>
              </w:rPr>
              <w:t>162.83</w:t>
            </w:r>
          </w:p>
        </w:tc>
        <w:tc>
          <w:tcPr>
            <w:tcW w:w="834" w:type="pct"/>
            <w:shd w:val="clear" w:color="auto" w:fill="auto"/>
            <w:vAlign w:val="bottom"/>
          </w:tcPr>
          <w:p w14:paraId="372A781F">
            <w:pPr>
              <w:pStyle w:val="48"/>
            </w:pPr>
            <w:r>
              <w:rPr>
                <w:rFonts w:hint="eastAsia"/>
              </w:rPr>
              <w:t>30</w:t>
            </w:r>
            <w:r>
              <w:t>0</w:t>
            </w:r>
          </w:p>
        </w:tc>
        <w:tc>
          <w:tcPr>
            <w:tcW w:w="827" w:type="pct"/>
            <w:shd w:val="clear" w:color="auto" w:fill="auto"/>
            <w:vAlign w:val="bottom"/>
          </w:tcPr>
          <w:p w14:paraId="7A25ED6C">
            <w:pPr>
              <w:pStyle w:val="48"/>
            </w:pPr>
            <w:r>
              <w:rPr>
                <w:rFonts w:hint="eastAsia"/>
              </w:rPr>
              <w:t>48849</w:t>
            </w:r>
          </w:p>
        </w:tc>
      </w:tr>
      <w:tr w14:paraId="4F28F86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shd w:val="clear" w:color="auto" w:fill="auto"/>
            <w:vAlign w:val="center"/>
          </w:tcPr>
          <w:p w14:paraId="4933CF46">
            <w:pPr>
              <w:pStyle w:val="48"/>
            </w:pPr>
            <w:r>
              <w:rPr>
                <w:rFonts w:hint="eastAsia"/>
              </w:rPr>
              <w:t>A</w:t>
            </w:r>
          </w:p>
        </w:tc>
        <w:tc>
          <w:tcPr>
            <w:tcW w:w="2016" w:type="pct"/>
            <w:gridSpan w:val="2"/>
            <w:shd w:val="clear" w:color="auto" w:fill="auto"/>
            <w:vAlign w:val="bottom"/>
          </w:tcPr>
          <w:p w14:paraId="501111F3">
            <w:pPr>
              <w:pStyle w:val="48"/>
            </w:pPr>
            <w:r>
              <w:rPr>
                <w:rFonts w:hint="eastAsia"/>
              </w:rPr>
              <w:t>公共管理与公共服务设施用地</w:t>
            </w:r>
          </w:p>
        </w:tc>
        <w:tc>
          <w:tcPr>
            <w:tcW w:w="834" w:type="pct"/>
            <w:shd w:val="clear" w:color="auto" w:fill="auto"/>
            <w:vAlign w:val="center"/>
          </w:tcPr>
          <w:p w14:paraId="5FD55D99">
            <w:pPr>
              <w:pStyle w:val="48"/>
            </w:pPr>
            <w:r>
              <w:t>27.0</w:t>
            </w:r>
            <w:r>
              <w:rPr>
                <w:rFonts w:hint="eastAsia"/>
              </w:rPr>
              <w:t>5</w:t>
            </w:r>
          </w:p>
        </w:tc>
        <w:tc>
          <w:tcPr>
            <w:tcW w:w="834" w:type="pct"/>
            <w:shd w:val="clear" w:color="auto" w:fill="auto"/>
            <w:vAlign w:val="bottom"/>
          </w:tcPr>
          <w:p w14:paraId="363C45B5">
            <w:pPr>
              <w:pStyle w:val="48"/>
            </w:pPr>
            <w:r>
              <w:rPr>
                <w:rFonts w:hint="eastAsia"/>
              </w:rPr>
              <w:t>450</w:t>
            </w:r>
          </w:p>
        </w:tc>
        <w:tc>
          <w:tcPr>
            <w:tcW w:w="827" w:type="pct"/>
            <w:shd w:val="clear" w:color="auto" w:fill="auto"/>
            <w:vAlign w:val="bottom"/>
          </w:tcPr>
          <w:p w14:paraId="78570A20">
            <w:pPr>
              <w:pStyle w:val="48"/>
            </w:pPr>
            <w:r>
              <w:rPr>
                <w:rFonts w:hint="eastAsia"/>
              </w:rPr>
              <w:t>12172.5</w:t>
            </w:r>
          </w:p>
        </w:tc>
      </w:tr>
      <w:tr w14:paraId="750501F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vAlign w:val="bottom"/>
          </w:tcPr>
          <w:p w14:paraId="3E394A8E">
            <w:pPr>
              <w:pStyle w:val="48"/>
            </w:pPr>
            <w:r>
              <w:rPr>
                <w:rFonts w:hint="eastAsia"/>
              </w:rPr>
              <w:t>B</w:t>
            </w:r>
          </w:p>
          <w:p w14:paraId="07A462D6">
            <w:pPr>
              <w:pStyle w:val="48"/>
            </w:pPr>
          </w:p>
        </w:tc>
        <w:tc>
          <w:tcPr>
            <w:tcW w:w="2016" w:type="pct"/>
            <w:gridSpan w:val="2"/>
            <w:shd w:val="clear" w:color="auto" w:fill="auto"/>
            <w:vAlign w:val="bottom"/>
          </w:tcPr>
          <w:p w14:paraId="0C5E3F8B">
            <w:pPr>
              <w:pStyle w:val="48"/>
            </w:pPr>
            <w:r>
              <w:rPr>
                <w:rFonts w:hint="eastAsia"/>
              </w:rPr>
              <w:t>商业服务业设施用地</w:t>
            </w:r>
          </w:p>
        </w:tc>
        <w:tc>
          <w:tcPr>
            <w:tcW w:w="834" w:type="pct"/>
            <w:shd w:val="clear" w:color="auto" w:fill="auto"/>
            <w:vAlign w:val="center"/>
          </w:tcPr>
          <w:p w14:paraId="651D98D2">
            <w:pPr>
              <w:pStyle w:val="48"/>
            </w:pPr>
            <w:r>
              <w:t>114.32</w:t>
            </w:r>
          </w:p>
        </w:tc>
        <w:tc>
          <w:tcPr>
            <w:tcW w:w="834" w:type="pct"/>
            <w:shd w:val="clear" w:color="auto" w:fill="auto"/>
            <w:vAlign w:val="center"/>
          </w:tcPr>
          <w:p w14:paraId="3A4C3897">
            <w:pPr>
              <w:pStyle w:val="48"/>
            </w:pPr>
            <w:r>
              <w:rPr>
                <w:rFonts w:hint="eastAsia"/>
              </w:rPr>
              <w:t>450</w:t>
            </w:r>
          </w:p>
        </w:tc>
        <w:tc>
          <w:tcPr>
            <w:tcW w:w="827" w:type="pct"/>
            <w:shd w:val="clear" w:color="auto" w:fill="auto"/>
            <w:vAlign w:val="bottom"/>
          </w:tcPr>
          <w:p w14:paraId="212E9156">
            <w:pPr>
              <w:pStyle w:val="48"/>
            </w:pPr>
            <w:r>
              <w:rPr>
                <w:rFonts w:hint="eastAsia"/>
              </w:rPr>
              <w:t>51444</w:t>
            </w:r>
          </w:p>
        </w:tc>
      </w:tr>
      <w:tr w14:paraId="36700B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vAlign w:val="bottom"/>
          </w:tcPr>
          <w:p w14:paraId="295BDE4C">
            <w:pPr>
              <w:pStyle w:val="48"/>
            </w:pPr>
            <w:r>
              <w:rPr>
                <w:rFonts w:hint="eastAsia"/>
              </w:rPr>
              <w:t>M</w:t>
            </w:r>
          </w:p>
        </w:tc>
        <w:tc>
          <w:tcPr>
            <w:tcW w:w="2016" w:type="pct"/>
            <w:gridSpan w:val="2"/>
            <w:shd w:val="clear" w:color="auto" w:fill="auto"/>
            <w:vAlign w:val="bottom"/>
          </w:tcPr>
          <w:p w14:paraId="60CB584C">
            <w:pPr>
              <w:pStyle w:val="48"/>
            </w:pPr>
            <w:r>
              <w:rPr>
                <w:rFonts w:hint="eastAsia"/>
              </w:rPr>
              <w:t>工业用地</w:t>
            </w:r>
          </w:p>
        </w:tc>
        <w:tc>
          <w:tcPr>
            <w:tcW w:w="834" w:type="pct"/>
            <w:shd w:val="clear" w:color="auto" w:fill="auto"/>
            <w:vAlign w:val="center"/>
          </w:tcPr>
          <w:p w14:paraId="4E125D5B">
            <w:pPr>
              <w:pStyle w:val="48"/>
            </w:pPr>
            <w:r>
              <w:rPr>
                <w:rFonts w:hint="eastAsia"/>
              </w:rPr>
              <w:t>36.06</w:t>
            </w:r>
          </w:p>
        </w:tc>
        <w:tc>
          <w:tcPr>
            <w:tcW w:w="834" w:type="pct"/>
            <w:shd w:val="clear" w:color="auto" w:fill="auto"/>
            <w:vAlign w:val="center"/>
          </w:tcPr>
          <w:p w14:paraId="41260EF0">
            <w:pPr>
              <w:pStyle w:val="48"/>
            </w:pPr>
            <w:r>
              <w:rPr>
                <w:rFonts w:hint="eastAsia"/>
              </w:rPr>
              <w:t>300</w:t>
            </w:r>
          </w:p>
        </w:tc>
        <w:tc>
          <w:tcPr>
            <w:tcW w:w="827" w:type="pct"/>
            <w:shd w:val="clear" w:color="auto" w:fill="auto"/>
            <w:vAlign w:val="bottom"/>
          </w:tcPr>
          <w:p w14:paraId="2119329E">
            <w:pPr>
              <w:pStyle w:val="48"/>
            </w:pPr>
            <w:r>
              <w:rPr>
                <w:rFonts w:hint="eastAsia"/>
              </w:rPr>
              <w:t>10818</w:t>
            </w:r>
          </w:p>
        </w:tc>
      </w:tr>
      <w:tr w14:paraId="0C6D4D6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vAlign w:val="bottom"/>
          </w:tcPr>
          <w:p w14:paraId="69D6A198">
            <w:pPr>
              <w:pStyle w:val="48"/>
            </w:pPr>
            <w:r>
              <w:rPr>
                <w:rFonts w:hint="eastAsia"/>
              </w:rPr>
              <w:t>W</w:t>
            </w:r>
          </w:p>
        </w:tc>
        <w:tc>
          <w:tcPr>
            <w:tcW w:w="2016" w:type="pct"/>
            <w:gridSpan w:val="2"/>
            <w:shd w:val="clear" w:color="auto" w:fill="auto"/>
            <w:vAlign w:val="bottom"/>
          </w:tcPr>
          <w:p w14:paraId="6AD7D21D">
            <w:pPr>
              <w:pStyle w:val="48"/>
            </w:pPr>
            <w:r>
              <w:rPr>
                <w:rFonts w:hint="eastAsia"/>
              </w:rPr>
              <w:t>仓储用地</w:t>
            </w:r>
          </w:p>
        </w:tc>
        <w:tc>
          <w:tcPr>
            <w:tcW w:w="834" w:type="pct"/>
            <w:shd w:val="clear" w:color="auto" w:fill="auto"/>
            <w:vAlign w:val="center"/>
          </w:tcPr>
          <w:p w14:paraId="0F6B949C">
            <w:pPr>
              <w:pStyle w:val="48"/>
            </w:pPr>
            <w:r>
              <w:rPr>
                <w:rFonts w:hint="eastAsia"/>
              </w:rPr>
              <w:t>10.85</w:t>
            </w:r>
          </w:p>
        </w:tc>
        <w:tc>
          <w:tcPr>
            <w:tcW w:w="834" w:type="pct"/>
            <w:shd w:val="clear" w:color="auto" w:fill="auto"/>
            <w:vAlign w:val="center"/>
          </w:tcPr>
          <w:p w14:paraId="192E81F0">
            <w:pPr>
              <w:pStyle w:val="48"/>
            </w:pPr>
            <w:r>
              <w:rPr>
                <w:rFonts w:hint="eastAsia"/>
              </w:rPr>
              <w:t>80</w:t>
            </w:r>
          </w:p>
        </w:tc>
        <w:tc>
          <w:tcPr>
            <w:tcW w:w="827" w:type="pct"/>
            <w:shd w:val="clear" w:color="auto" w:fill="auto"/>
            <w:vAlign w:val="bottom"/>
          </w:tcPr>
          <w:p w14:paraId="77462992">
            <w:pPr>
              <w:pStyle w:val="48"/>
            </w:pPr>
            <w:r>
              <w:rPr>
                <w:rFonts w:hint="eastAsia"/>
              </w:rPr>
              <w:t>868</w:t>
            </w:r>
          </w:p>
        </w:tc>
      </w:tr>
      <w:tr w14:paraId="5C911FC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shd w:val="clear" w:color="auto" w:fill="auto"/>
            <w:vAlign w:val="center"/>
          </w:tcPr>
          <w:p w14:paraId="05522470">
            <w:pPr>
              <w:pStyle w:val="48"/>
            </w:pPr>
            <w:r>
              <w:t>S</w:t>
            </w:r>
          </w:p>
        </w:tc>
        <w:tc>
          <w:tcPr>
            <w:tcW w:w="2016" w:type="pct"/>
            <w:gridSpan w:val="2"/>
            <w:shd w:val="clear" w:color="auto" w:fill="auto"/>
            <w:vAlign w:val="center"/>
          </w:tcPr>
          <w:p w14:paraId="6B7E0C9A">
            <w:pPr>
              <w:pStyle w:val="48"/>
            </w:pPr>
            <w:r>
              <w:rPr>
                <w:rFonts w:hint="eastAsia"/>
              </w:rPr>
              <w:t>道路交通设施用地</w:t>
            </w:r>
          </w:p>
        </w:tc>
        <w:tc>
          <w:tcPr>
            <w:tcW w:w="834" w:type="pct"/>
            <w:shd w:val="clear" w:color="auto" w:fill="auto"/>
            <w:vAlign w:val="center"/>
          </w:tcPr>
          <w:p w14:paraId="6817EF20">
            <w:pPr>
              <w:pStyle w:val="48"/>
            </w:pPr>
            <w:r>
              <w:t>154</w:t>
            </w:r>
            <w:r>
              <w:rPr>
                <w:rFonts w:hint="eastAsia"/>
              </w:rPr>
              <w:t>.72</w:t>
            </w:r>
          </w:p>
        </w:tc>
        <w:tc>
          <w:tcPr>
            <w:tcW w:w="834" w:type="pct"/>
            <w:shd w:val="clear" w:color="auto" w:fill="auto"/>
            <w:vAlign w:val="center"/>
          </w:tcPr>
          <w:p w14:paraId="38BDF71D">
            <w:pPr>
              <w:pStyle w:val="48"/>
            </w:pPr>
            <w:r>
              <w:rPr>
                <w:rFonts w:hint="eastAsia"/>
              </w:rPr>
              <w:t>30</w:t>
            </w:r>
          </w:p>
        </w:tc>
        <w:tc>
          <w:tcPr>
            <w:tcW w:w="827" w:type="pct"/>
            <w:shd w:val="clear" w:color="auto" w:fill="auto"/>
            <w:vAlign w:val="center"/>
          </w:tcPr>
          <w:p w14:paraId="74988DD3">
            <w:pPr>
              <w:pStyle w:val="48"/>
            </w:pPr>
            <w:r>
              <w:rPr>
                <w:rFonts w:hint="eastAsia"/>
              </w:rPr>
              <w:t>4641.6</w:t>
            </w:r>
          </w:p>
        </w:tc>
      </w:tr>
      <w:tr w14:paraId="27156F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shd w:val="clear" w:color="auto" w:fill="auto"/>
            <w:vAlign w:val="bottom"/>
          </w:tcPr>
          <w:p w14:paraId="4C2A8FAB">
            <w:pPr>
              <w:pStyle w:val="48"/>
            </w:pPr>
            <w:r>
              <w:t>U</w:t>
            </w:r>
          </w:p>
        </w:tc>
        <w:tc>
          <w:tcPr>
            <w:tcW w:w="2016" w:type="pct"/>
            <w:gridSpan w:val="2"/>
            <w:shd w:val="clear" w:color="auto" w:fill="auto"/>
            <w:vAlign w:val="bottom"/>
          </w:tcPr>
          <w:p w14:paraId="4E763BD7">
            <w:pPr>
              <w:pStyle w:val="48"/>
            </w:pPr>
            <w:r>
              <w:rPr>
                <w:rFonts w:hint="eastAsia"/>
              </w:rPr>
              <w:t>公用设施用地</w:t>
            </w:r>
          </w:p>
        </w:tc>
        <w:tc>
          <w:tcPr>
            <w:tcW w:w="834" w:type="pct"/>
            <w:shd w:val="clear" w:color="auto" w:fill="auto"/>
            <w:vAlign w:val="bottom"/>
          </w:tcPr>
          <w:p w14:paraId="09F0FA4B">
            <w:pPr>
              <w:pStyle w:val="48"/>
            </w:pPr>
            <w:r>
              <w:t>17.36</w:t>
            </w:r>
          </w:p>
        </w:tc>
        <w:tc>
          <w:tcPr>
            <w:tcW w:w="834" w:type="pct"/>
            <w:shd w:val="clear" w:color="auto" w:fill="auto"/>
            <w:vAlign w:val="bottom"/>
          </w:tcPr>
          <w:p w14:paraId="13C649D8">
            <w:pPr>
              <w:pStyle w:val="48"/>
            </w:pPr>
            <w:r>
              <w:t>1</w:t>
            </w:r>
            <w:r>
              <w:rPr>
                <w:rFonts w:hint="eastAsia"/>
              </w:rPr>
              <w:t>5</w:t>
            </w:r>
            <w:r>
              <w:t>0</w:t>
            </w:r>
          </w:p>
        </w:tc>
        <w:tc>
          <w:tcPr>
            <w:tcW w:w="827" w:type="pct"/>
            <w:shd w:val="clear" w:color="auto" w:fill="auto"/>
            <w:vAlign w:val="bottom"/>
          </w:tcPr>
          <w:p w14:paraId="28C28787">
            <w:pPr>
              <w:pStyle w:val="48"/>
            </w:pPr>
            <w:r>
              <w:t>2604</w:t>
            </w:r>
          </w:p>
        </w:tc>
      </w:tr>
      <w:tr w14:paraId="6C199C8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vMerge w:val="restart"/>
            <w:shd w:val="clear" w:color="auto" w:fill="auto"/>
            <w:vAlign w:val="center"/>
          </w:tcPr>
          <w:p w14:paraId="6A40E12D">
            <w:pPr>
              <w:pStyle w:val="48"/>
            </w:pPr>
            <w:r>
              <w:t>G</w:t>
            </w:r>
          </w:p>
        </w:tc>
        <w:tc>
          <w:tcPr>
            <w:tcW w:w="2016" w:type="pct"/>
            <w:gridSpan w:val="2"/>
            <w:shd w:val="clear" w:color="auto" w:fill="auto"/>
            <w:vAlign w:val="bottom"/>
          </w:tcPr>
          <w:p w14:paraId="561BA561">
            <w:pPr>
              <w:pStyle w:val="48"/>
            </w:pPr>
            <w:r>
              <w:rPr>
                <w:rFonts w:hint="eastAsia"/>
              </w:rPr>
              <w:t>绿地与广场用地</w:t>
            </w:r>
          </w:p>
        </w:tc>
        <w:tc>
          <w:tcPr>
            <w:tcW w:w="834" w:type="pct"/>
            <w:shd w:val="clear" w:color="auto" w:fill="auto"/>
            <w:vAlign w:val="center"/>
          </w:tcPr>
          <w:p w14:paraId="7867F1B1">
            <w:pPr>
              <w:pStyle w:val="48"/>
            </w:pPr>
            <w:r>
              <w:t>203.58</w:t>
            </w:r>
          </w:p>
        </w:tc>
        <w:tc>
          <w:tcPr>
            <w:tcW w:w="834" w:type="pct"/>
            <w:shd w:val="clear" w:color="auto" w:fill="auto"/>
            <w:vAlign w:val="bottom"/>
          </w:tcPr>
          <w:p w14:paraId="018B58C9">
            <w:pPr>
              <w:pStyle w:val="48"/>
            </w:pPr>
          </w:p>
        </w:tc>
        <w:tc>
          <w:tcPr>
            <w:tcW w:w="827" w:type="pct"/>
            <w:shd w:val="clear" w:color="auto" w:fill="auto"/>
            <w:vAlign w:val="bottom"/>
          </w:tcPr>
          <w:p w14:paraId="2F8AFF81">
            <w:pPr>
              <w:pStyle w:val="48"/>
            </w:pPr>
          </w:p>
        </w:tc>
      </w:tr>
      <w:tr w14:paraId="48F2B2A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vMerge w:val="continue"/>
            <w:vAlign w:val="bottom"/>
          </w:tcPr>
          <w:p w14:paraId="46E7E98E">
            <w:pPr>
              <w:pStyle w:val="48"/>
            </w:pPr>
          </w:p>
        </w:tc>
        <w:tc>
          <w:tcPr>
            <w:tcW w:w="781" w:type="pct"/>
            <w:vMerge w:val="restart"/>
            <w:shd w:val="clear" w:color="auto" w:fill="auto"/>
            <w:vAlign w:val="bottom"/>
          </w:tcPr>
          <w:p w14:paraId="7C1106DD">
            <w:pPr>
              <w:pStyle w:val="48"/>
            </w:pPr>
            <w:r>
              <w:rPr>
                <w:rFonts w:hint="eastAsia"/>
              </w:rPr>
              <w:t>其中</w:t>
            </w:r>
          </w:p>
        </w:tc>
        <w:tc>
          <w:tcPr>
            <w:tcW w:w="1235" w:type="pct"/>
            <w:shd w:val="clear" w:color="auto" w:fill="auto"/>
            <w:vAlign w:val="center"/>
          </w:tcPr>
          <w:p w14:paraId="1782D5EE">
            <w:pPr>
              <w:pStyle w:val="48"/>
            </w:pPr>
            <w:r>
              <w:rPr>
                <w:rFonts w:hint="eastAsia"/>
              </w:rPr>
              <w:t>公共绿地</w:t>
            </w:r>
          </w:p>
        </w:tc>
        <w:tc>
          <w:tcPr>
            <w:tcW w:w="834" w:type="pct"/>
            <w:shd w:val="clear" w:color="auto" w:fill="auto"/>
            <w:vAlign w:val="center"/>
          </w:tcPr>
          <w:p w14:paraId="3011EC6E">
            <w:pPr>
              <w:pStyle w:val="48"/>
            </w:pPr>
            <w:r>
              <w:t>153.46</w:t>
            </w:r>
          </w:p>
        </w:tc>
        <w:tc>
          <w:tcPr>
            <w:tcW w:w="834" w:type="pct"/>
            <w:shd w:val="clear" w:color="auto" w:fill="auto"/>
            <w:vAlign w:val="bottom"/>
          </w:tcPr>
          <w:p w14:paraId="28F1C15D">
            <w:pPr>
              <w:pStyle w:val="48"/>
            </w:pPr>
            <w:r>
              <w:t>10</w:t>
            </w:r>
          </w:p>
        </w:tc>
        <w:tc>
          <w:tcPr>
            <w:tcW w:w="827" w:type="pct"/>
            <w:shd w:val="clear" w:color="auto" w:fill="auto"/>
            <w:vAlign w:val="bottom"/>
          </w:tcPr>
          <w:p w14:paraId="4FCD60E9">
            <w:pPr>
              <w:pStyle w:val="48"/>
            </w:pPr>
            <w:r>
              <w:t>1534.6</w:t>
            </w:r>
          </w:p>
        </w:tc>
      </w:tr>
      <w:tr w14:paraId="1F0D9F0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vMerge w:val="continue"/>
            <w:vAlign w:val="bottom"/>
          </w:tcPr>
          <w:p w14:paraId="5F0A960B">
            <w:pPr>
              <w:pStyle w:val="48"/>
            </w:pPr>
          </w:p>
        </w:tc>
        <w:tc>
          <w:tcPr>
            <w:tcW w:w="781" w:type="pct"/>
            <w:vMerge w:val="continue"/>
            <w:vAlign w:val="bottom"/>
          </w:tcPr>
          <w:p w14:paraId="06F71EBB">
            <w:pPr>
              <w:pStyle w:val="48"/>
            </w:pPr>
          </w:p>
        </w:tc>
        <w:tc>
          <w:tcPr>
            <w:tcW w:w="1235" w:type="pct"/>
            <w:shd w:val="clear" w:color="auto" w:fill="auto"/>
            <w:vAlign w:val="center"/>
          </w:tcPr>
          <w:p w14:paraId="6A85C2C1">
            <w:pPr>
              <w:pStyle w:val="48"/>
            </w:pPr>
            <w:r>
              <w:rPr>
                <w:rFonts w:hint="eastAsia"/>
              </w:rPr>
              <w:t>防护绿地</w:t>
            </w:r>
          </w:p>
        </w:tc>
        <w:tc>
          <w:tcPr>
            <w:tcW w:w="834" w:type="pct"/>
            <w:shd w:val="clear" w:color="auto" w:fill="auto"/>
            <w:vAlign w:val="center"/>
          </w:tcPr>
          <w:p w14:paraId="16C15485">
            <w:pPr>
              <w:pStyle w:val="48"/>
            </w:pPr>
            <w:r>
              <w:t>43.14</w:t>
            </w:r>
          </w:p>
        </w:tc>
        <w:tc>
          <w:tcPr>
            <w:tcW w:w="834" w:type="pct"/>
            <w:shd w:val="clear" w:color="auto" w:fill="auto"/>
            <w:vAlign w:val="bottom"/>
          </w:tcPr>
          <w:p w14:paraId="74EDF68C">
            <w:pPr>
              <w:pStyle w:val="48"/>
            </w:pPr>
          </w:p>
        </w:tc>
        <w:tc>
          <w:tcPr>
            <w:tcW w:w="827" w:type="pct"/>
            <w:shd w:val="clear" w:color="auto" w:fill="auto"/>
            <w:vAlign w:val="bottom"/>
          </w:tcPr>
          <w:p w14:paraId="2FCC5FB5">
            <w:pPr>
              <w:pStyle w:val="48"/>
            </w:pPr>
          </w:p>
        </w:tc>
      </w:tr>
      <w:tr w14:paraId="5CDDCE9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vMerge w:val="continue"/>
            <w:vAlign w:val="bottom"/>
          </w:tcPr>
          <w:p w14:paraId="0D7D2DCA">
            <w:pPr>
              <w:pStyle w:val="48"/>
            </w:pPr>
          </w:p>
        </w:tc>
        <w:tc>
          <w:tcPr>
            <w:tcW w:w="781" w:type="pct"/>
            <w:vMerge w:val="continue"/>
            <w:vAlign w:val="bottom"/>
          </w:tcPr>
          <w:p w14:paraId="618BD454">
            <w:pPr>
              <w:pStyle w:val="48"/>
            </w:pPr>
          </w:p>
        </w:tc>
        <w:tc>
          <w:tcPr>
            <w:tcW w:w="1235" w:type="pct"/>
            <w:shd w:val="clear" w:color="auto" w:fill="auto"/>
            <w:vAlign w:val="center"/>
          </w:tcPr>
          <w:p w14:paraId="5A2ADBA5">
            <w:pPr>
              <w:pStyle w:val="48"/>
            </w:pPr>
            <w:r>
              <w:rPr>
                <w:rFonts w:hint="eastAsia"/>
              </w:rPr>
              <w:t>广场绿地</w:t>
            </w:r>
          </w:p>
        </w:tc>
        <w:tc>
          <w:tcPr>
            <w:tcW w:w="834" w:type="pct"/>
            <w:shd w:val="clear" w:color="auto" w:fill="auto"/>
            <w:vAlign w:val="center"/>
          </w:tcPr>
          <w:p w14:paraId="420DD0F8">
            <w:pPr>
              <w:pStyle w:val="48"/>
            </w:pPr>
            <w:r>
              <w:t>6.98</w:t>
            </w:r>
          </w:p>
        </w:tc>
        <w:tc>
          <w:tcPr>
            <w:tcW w:w="834" w:type="pct"/>
            <w:shd w:val="clear" w:color="auto" w:fill="auto"/>
            <w:vAlign w:val="bottom"/>
          </w:tcPr>
          <w:p w14:paraId="4B5D919B">
            <w:pPr>
              <w:pStyle w:val="48"/>
            </w:pPr>
            <w:r>
              <w:rPr>
                <w:rFonts w:hint="eastAsia"/>
              </w:rPr>
              <w:t>30</w:t>
            </w:r>
          </w:p>
        </w:tc>
        <w:tc>
          <w:tcPr>
            <w:tcW w:w="827" w:type="pct"/>
            <w:shd w:val="clear" w:color="auto" w:fill="auto"/>
            <w:vAlign w:val="bottom"/>
          </w:tcPr>
          <w:p w14:paraId="04B5AD8C">
            <w:pPr>
              <w:pStyle w:val="48"/>
            </w:pPr>
            <w:r>
              <w:t>209.4</w:t>
            </w:r>
          </w:p>
        </w:tc>
      </w:tr>
      <w:tr w14:paraId="2B60C9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4" w:hRule="exact"/>
          <w:jc w:val="center"/>
        </w:trPr>
        <w:tc>
          <w:tcPr>
            <w:tcW w:w="489" w:type="pct"/>
            <w:tcBorders>
              <w:left w:val="single" w:color="auto" w:sz="4" w:space="0"/>
            </w:tcBorders>
            <w:shd w:val="clear" w:color="auto" w:fill="auto"/>
            <w:vAlign w:val="bottom"/>
          </w:tcPr>
          <w:p w14:paraId="0DD68F78">
            <w:pPr>
              <w:pStyle w:val="48"/>
            </w:pPr>
            <w:r>
              <w:rPr>
                <w:rFonts w:hint="eastAsia"/>
              </w:rPr>
              <w:t>合计</w:t>
            </w:r>
          </w:p>
        </w:tc>
        <w:tc>
          <w:tcPr>
            <w:tcW w:w="2016" w:type="pct"/>
            <w:gridSpan w:val="2"/>
            <w:shd w:val="clear" w:color="auto" w:fill="auto"/>
            <w:vAlign w:val="bottom"/>
          </w:tcPr>
          <w:p w14:paraId="19B5141F">
            <w:pPr>
              <w:pStyle w:val="48"/>
            </w:pPr>
            <w:r>
              <w:rPr>
                <w:rFonts w:hint="eastAsia"/>
              </w:rPr>
              <w:t>城市建设用地</w:t>
            </w:r>
          </w:p>
        </w:tc>
        <w:tc>
          <w:tcPr>
            <w:tcW w:w="834" w:type="pct"/>
            <w:shd w:val="clear" w:color="auto" w:fill="auto"/>
            <w:vAlign w:val="bottom"/>
          </w:tcPr>
          <w:p w14:paraId="1F5FB7A0">
            <w:pPr>
              <w:pStyle w:val="48"/>
            </w:pPr>
            <w:r>
              <w:rPr>
                <w:rFonts w:hint="eastAsia"/>
              </w:rPr>
              <w:t>1043.73</w:t>
            </w:r>
          </w:p>
        </w:tc>
        <w:tc>
          <w:tcPr>
            <w:tcW w:w="834" w:type="pct"/>
            <w:shd w:val="clear" w:color="auto" w:fill="auto"/>
            <w:vAlign w:val="center"/>
          </w:tcPr>
          <w:p w14:paraId="3F30C334">
            <w:pPr>
              <w:pStyle w:val="48"/>
            </w:pPr>
          </w:p>
        </w:tc>
        <w:tc>
          <w:tcPr>
            <w:tcW w:w="827" w:type="pct"/>
            <w:shd w:val="clear" w:color="auto" w:fill="auto"/>
            <w:vAlign w:val="bottom"/>
          </w:tcPr>
          <w:p w14:paraId="0F6A26AB">
            <w:pPr>
              <w:pStyle w:val="48"/>
            </w:pPr>
            <w:r>
              <w:t>133141</w:t>
            </w:r>
          </w:p>
        </w:tc>
      </w:tr>
    </w:tbl>
    <w:p w14:paraId="6AE1C9B7">
      <w:pPr>
        <w:pStyle w:val="17"/>
        <w:spacing w:line="540" w:lineRule="exact"/>
        <w:ind w:firstLine="560" w:firstLineChars="200"/>
        <w:textAlignment w:val="baseline"/>
        <w:rPr>
          <w:szCs w:val="28"/>
        </w:rPr>
      </w:pPr>
      <w:r>
        <w:rPr>
          <w:rFonts w:hint="eastAsia"/>
          <w:szCs w:val="28"/>
        </w:rPr>
        <w:t>根据用地性质，采用负荷密度法预测，同时系数0.5，电力负荷</w:t>
      </w:r>
      <w:r>
        <w:rPr>
          <w:szCs w:val="28"/>
        </w:rPr>
        <w:t>6.7</w:t>
      </w:r>
      <w:r>
        <w:rPr>
          <w:rFonts w:hint="eastAsia"/>
          <w:szCs w:val="28"/>
        </w:rPr>
        <w:t>万kW，平均负荷密度1.2</w:t>
      </w:r>
      <w:r>
        <w:rPr>
          <w:szCs w:val="28"/>
        </w:rPr>
        <w:t>8</w:t>
      </w:r>
      <w:r>
        <w:rPr>
          <w:rFonts w:hint="eastAsia"/>
          <w:szCs w:val="28"/>
        </w:rPr>
        <w:t>万kW/km</w:t>
      </w:r>
      <w:r>
        <w:rPr>
          <w:rFonts w:hint="eastAsia"/>
          <w:szCs w:val="28"/>
          <w:vertAlign w:val="superscript"/>
        </w:rPr>
        <w:t>2</w:t>
      </w:r>
      <w:r>
        <w:rPr>
          <w:rFonts w:hint="eastAsia"/>
          <w:szCs w:val="28"/>
        </w:rPr>
        <w:t>。年用电量为</w:t>
      </w:r>
      <w:r>
        <w:rPr>
          <w:szCs w:val="28"/>
        </w:rPr>
        <w:t>3.8</w:t>
      </w:r>
      <w:r>
        <w:rPr>
          <w:rFonts w:hint="eastAsia"/>
          <w:szCs w:val="28"/>
        </w:rPr>
        <w:t>亿kWh，人均综合用电量为</w:t>
      </w:r>
      <w:r>
        <w:rPr>
          <w:szCs w:val="28"/>
        </w:rPr>
        <w:t>7676</w:t>
      </w:r>
      <w:r>
        <w:rPr>
          <w:rFonts w:hint="eastAsia"/>
          <w:szCs w:val="28"/>
        </w:rPr>
        <w:t>kWh/（人·a），达到中华人民共和国国家标准《城市电力规划规范》中用电水平较高城市水平。规划区供电为城市配电系统，供电电压以10kV</w:t>
      </w:r>
      <w:r>
        <w:rPr>
          <w:szCs w:val="28"/>
        </w:rPr>
        <w:t>中压配电</w:t>
      </w:r>
      <w:r>
        <w:rPr>
          <w:rFonts w:hint="eastAsia"/>
          <w:szCs w:val="28"/>
        </w:rPr>
        <w:t>，380/220V低</w:t>
      </w:r>
      <w:r>
        <w:rPr>
          <w:szCs w:val="28"/>
        </w:rPr>
        <w:t>压配电</w:t>
      </w:r>
      <w:r>
        <w:rPr>
          <w:rFonts w:hint="eastAsia"/>
          <w:szCs w:val="28"/>
        </w:rPr>
        <w:t>为主。</w:t>
      </w:r>
    </w:p>
    <w:p w14:paraId="5613B670">
      <w:pPr>
        <w:pStyle w:val="17"/>
        <w:spacing w:line="540" w:lineRule="exact"/>
        <w:ind w:firstLine="560" w:firstLineChars="200"/>
        <w:textAlignment w:val="baseline"/>
        <w:rPr>
          <w:szCs w:val="28"/>
        </w:rPr>
      </w:pPr>
      <w:r>
        <w:rPr>
          <w:rFonts w:hint="eastAsia"/>
          <w:szCs w:val="28"/>
        </w:rPr>
        <w:t>(二)电源规划</w:t>
      </w:r>
    </w:p>
    <w:p w14:paraId="3B56F471">
      <w:pPr>
        <w:pStyle w:val="17"/>
        <w:spacing w:line="540" w:lineRule="exact"/>
        <w:ind w:firstLine="560" w:firstLineChars="200"/>
        <w:textAlignment w:val="baseline"/>
        <w:rPr>
          <w:szCs w:val="28"/>
        </w:rPr>
      </w:pPr>
      <w:r>
        <w:rPr>
          <w:rFonts w:hint="eastAsia"/>
          <w:szCs w:val="28"/>
        </w:rPr>
        <w:t>规划陵川县城共设置3座110kV变电站。其中，陵川110kV变电站为现状变电站；杨寨110kV变电站为现状变电站；新建工业园区110kV变电站，建设规模为2×50MVA，占地约0.55公顷。</w:t>
      </w:r>
    </w:p>
    <w:p w14:paraId="51D58967">
      <w:pPr>
        <w:pStyle w:val="17"/>
        <w:spacing w:line="540" w:lineRule="exact"/>
        <w:ind w:firstLine="560" w:firstLineChars="200"/>
        <w:textAlignment w:val="baseline"/>
        <w:rPr>
          <w:szCs w:val="28"/>
        </w:rPr>
      </w:pPr>
      <w:r>
        <w:rPr>
          <w:rFonts w:hint="eastAsia"/>
          <w:szCs w:val="28"/>
        </w:rPr>
        <w:t>10kV电源由杨寨110kV变电站和陵川110kV变电站引出。本次规划共设置14个10kV开闭所，每个开闭所的转供容量不超过15000kVA。规划10kV电力电缆沿城市主干道电缆综合管沟敷设或沿区间道路人行道直埋敷设。</w:t>
      </w:r>
    </w:p>
    <w:p w14:paraId="1B73B810">
      <w:pPr>
        <w:pStyle w:val="17"/>
        <w:spacing w:line="580" w:lineRule="exact"/>
        <w:ind w:firstLine="560" w:firstLineChars="200"/>
        <w:textAlignment w:val="baseline"/>
        <w:rPr>
          <w:szCs w:val="28"/>
        </w:rPr>
      </w:pPr>
      <w:r>
        <w:rPr>
          <w:rFonts w:hint="eastAsia"/>
          <w:szCs w:val="28"/>
        </w:rPr>
        <w:t>(三)高压廊道</w:t>
      </w:r>
    </w:p>
    <w:p w14:paraId="201BF80B">
      <w:pPr>
        <w:pStyle w:val="17"/>
        <w:spacing w:line="580" w:lineRule="exact"/>
        <w:ind w:firstLine="560" w:firstLineChars="200"/>
        <w:textAlignment w:val="baseline"/>
        <w:rPr>
          <w:szCs w:val="28"/>
        </w:rPr>
      </w:pPr>
      <w:r>
        <w:rPr>
          <w:rFonts w:hint="eastAsia"/>
          <w:szCs w:val="28"/>
        </w:rPr>
        <w:t>本次规划范围内主要为110kV线路。</w:t>
      </w:r>
    </w:p>
    <w:p w14:paraId="7AAFB1D7">
      <w:pPr>
        <w:pStyle w:val="17"/>
        <w:spacing w:line="580" w:lineRule="exact"/>
        <w:ind w:firstLine="560" w:firstLineChars="200"/>
        <w:textAlignment w:val="baseline"/>
        <w:rPr>
          <w:szCs w:val="28"/>
        </w:rPr>
      </w:pPr>
      <w:r>
        <w:rPr>
          <w:rFonts w:hint="eastAsia"/>
          <w:szCs w:val="28"/>
        </w:rPr>
        <w:t>(四)低压线路规划</w:t>
      </w:r>
    </w:p>
    <w:p w14:paraId="607607AF">
      <w:pPr>
        <w:pStyle w:val="17"/>
        <w:spacing w:line="580" w:lineRule="exact"/>
        <w:ind w:firstLine="560" w:firstLineChars="200"/>
        <w:textAlignment w:val="baseline"/>
        <w:rPr>
          <w:szCs w:val="28"/>
        </w:rPr>
      </w:pPr>
      <w:r>
        <w:rPr>
          <w:rFonts w:hint="eastAsia"/>
          <w:szCs w:val="28"/>
        </w:rPr>
        <w:t>规划本区采用由110kV变电站——10kV开闭所——10kV变电站——用户的供配电方式，并由10kV开闭所总控制。10kV供电线路规划为电力电缆沿线缆沟（或排管）敷设。</w:t>
      </w:r>
    </w:p>
    <w:p w14:paraId="6685E180">
      <w:pPr>
        <w:pStyle w:val="38"/>
        <w:numPr>
          <w:ilvl w:val="0"/>
          <w:numId w:val="10"/>
        </w:numPr>
        <w:spacing w:before="0" w:beforeLines="0" w:after="0" w:afterLines="0" w:line="580" w:lineRule="exact"/>
        <w:rPr>
          <w:rFonts w:ascii="黑体" w:hAnsi="黑体"/>
          <w:b/>
        </w:rPr>
      </w:pPr>
      <w:bookmarkStart w:id="84" w:name="_Toc402516199"/>
      <w:bookmarkStart w:id="85" w:name="_Toc528317052"/>
      <w:r>
        <w:rPr>
          <w:rFonts w:hint="eastAsia" w:ascii="黑体" w:hAnsi="黑体"/>
          <w:b/>
        </w:rPr>
        <w:t>电信工程规划</w:t>
      </w:r>
      <w:bookmarkEnd w:id="84"/>
      <w:bookmarkEnd w:id="85"/>
    </w:p>
    <w:p w14:paraId="4DD691A6">
      <w:pPr>
        <w:pStyle w:val="17"/>
        <w:spacing w:line="580" w:lineRule="exact"/>
        <w:ind w:firstLine="560" w:firstLineChars="200"/>
        <w:textAlignment w:val="baseline"/>
        <w:rPr>
          <w:szCs w:val="28"/>
        </w:rPr>
      </w:pPr>
      <w:r>
        <w:rPr>
          <w:rFonts w:hint="eastAsia"/>
          <w:szCs w:val="28"/>
        </w:rPr>
        <w:t>(一)市话机数预测</w:t>
      </w:r>
    </w:p>
    <w:p w14:paraId="780FD5AB">
      <w:pPr>
        <w:spacing w:line="580" w:lineRule="exact"/>
        <w:jc w:val="center"/>
        <w:rPr>
          <w:rFonts w:ascii="宋体" w:hAnsi="宋体"/>
          <w:b/>
          <w:sz w:val="28"/>
          <w:szCs w:val="28"/>
        </w:rPr>
      </w:pPr>
      <w:r>
        <w:rPr>
          <w:rFonts w:hint="eastAsia" w:ascii="宋体" w:hAnsi="宋体"/>
          <w:b/>
          <w:sz w:val="28"/>
          <w:szCs w:val="28"/>
        </w:rPr>
        <w:t>表15  旧城改造地块市话机数预测表</w:t>
      </w:r>
    </w:p>
    <w:tbl>
      <w:tblPr>
        <w:tblStyle w:val="21"/>
        <w:tblW w:w="4722"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838"/>
        <w:gridCol w:w="1052"/>
        <w:gridCol w:w="1970"/>
        <w:gridCol w:w="1476"/>
        <w:gridCol w:w="1826"/>
        <w:gridCol w:w="1417"/>
      </w:tblGrid>
      <w:tr w14:paraId="5ACBD80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tblHeader/>
          <w:jc w:val="center"/>
        </w:trPr>
        <w:tc>
          <w:tcPr>
            <w:tcW w:w="489" w:type="pct"/>
            <w:shd w:val="clear" w:color="auto" w:fill="auto"/>
            <w:vAlign w:val="center"/>
          </w:tcPr>
          <w:p w14:paraId="52AB0010">
            <w:pPr>
              <w:pStyle w:val="48"/>
            </w:pPr>
            <w:r>
              <w:rPr>
                <w:rFonts w:hint="eastAsia"/>
              </w:rPr>
              <w:t>用地</w:t>
            </w:r>
          </w:p>
          <w:p w14:paraId="4C78FC8F">
            <w:pPr>
              <w:pStyle w:val="48"/>
            </w:pPr>
            <w:r>
              <w:rPr>
                <w:rFonts w:hint="eastAsia"/>
              </w:rPr>
              <w:t>代号</w:t>
            </w:r>
          </w:p>
        </w:tc>
        <w:tc>
          <w:tcPr>
            <w:tcW w:w="1761" w:type="pct"/>
            <w:gridSpan w:val="2"/>
            <w:shd w:val="clear" w:color="auto" w:fill="auto"/>
            <w:vAlign w:val="center"/>
          </w:tcPr>
          <w:p w14:paraId="5F8DF606">
            <w:pPr>
              <w:pStyle w:val="48"/>
            </w:pPr>
            <w:r>
              <w:rPr>
                <w:rFonts w:hint="eastAsia"/>
              </w:rPr>
              <w:t>用地名称</w:t>
            </w:r>
          </w:p>
        </w:tc>
        <w:tc>
          <w:tcPr>
            <w:tcW w:w="860" w:type="pct"/>
            <w:shd w:val="clear" w:color="auto" w:fill="auto"/>
            <w:vAlign w:val="center"/>
          </w:tcPr>
          <w:p w14:paraId="0647957C">
            <w:pPr>
              <w:pStyle w:val="48"/>
            </w:pPr>
            <w:r>
              <w:rPr>
                <w:rFonts w:hint="eastAsia"/>
              </w:rPr>
              <w:t>用地面积</w:t>
            </w:r>
          </w:p>
          <w:p w14:paraId="24599094">
            <w:pPr>
              <w:pStyle w:val="48"/>
            </w:pPr>
            <w:r>
              <w:t>(</w:t>
            </w:r>
            <w:r>
              <w:rPr>
                <w:rFonts w:hint="eastAsia"/>
              </w:rPr>
              <w:t>hm2</w:t>
            </w:r>
            <w:r>
              <w:t>)</w:t>
            </w:r>
          </w:p>
        </w:tc>
        <w:tc>
          <w:tcPr>
            <w:tcW w:w="1064" w:type="pct"/>
            <w:shd w:val="clear" w:color="auto" w:fill="auto"/>
            <w:vAlign w:val="center"/>
          </w:tcPr>
          <w:p w14:paraId="540DE23F">
            <w:pPr>
              <w:pStyle w:val="48"/>
            </w:pPr>
            <w:r>
              <w:rPr>
                <w:rFonts w:hint="eastAsia"/>
              </w:rPr>
              <w:t>单位用地面积主线密度</w:t>
            </w:r>
            <w:r>
              <w:t xml:space="preserve"> (</w:t>
            </w:r>
            <w:r>
              <w:rPr>
                <w:rFonts w:hint="eastAsia"/>
              </w:rPr>
              <w:t>线</w:t>
            </w:r>
            <w:r>
              <w:t>/</w:t>
            </w:r>
            <w:r>
              <w:rPr>
                <w:rFonts w:hint="eastAsia"/>
              </w:rPr>
              <w:t>万</w:t>
            </w:r>
            <w:r>
              <w:t>m2)</w:t>
            </w:r>
          </w:p>
        </w:tc>
        <w:tc>
          <w:tcPr>
            <w:tcW w:w="826" w:type="pct"/>
            <w:shd w:val="clear" w:color="auto" w:fill="auto"/>
            <w:vAlign w:val="center"/>
          </w:tcPr>
          <w:p w14:paraId="34BC28CB">
            <w:pPr>
              <w:pStyle w:val="48"/>
            </w:pPr>
            <w:r>
              <w:rPr>
                <w:rFonts w:hint="eastAsia"/>
              </w:rPr>
              <w:t>预测总线容量</w:t>
            </w:r>
          </w:p>
          <w:p w14:paraId="12F7ED5E">
            <w:pPr>
              <w:pStyle w:val="48"/>
            </w:pPr>
            <w:r>
              <w:t>(</w:t>
            </w:r>
            <w:r>
              <w:rPr>
                <w:rFonts w:hint="eastAsia"/>
              </w:rPr>
              <w:t>线对</w:t>
            </w:r>
            <w:r>
              <w:t>)</w:t>
            </w:r>
          </w:p>
        </w:tc>
      </w:tr>
      <w:tr w14:paraId="2AA588D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shd w:val="clear" w:color="auto" w:fill="auto"/>
            <w:vAlign w:val="bottom"/>
          </w:tcPr>
          <w:p w14:paraId="5F51903D">
            <w:pPr>
              <w:pStyle w:val="48"/>
            </w:pPr>
            <w:r>
              <w:t>R</w:t>
            </w:r>
          </w:p>
        </w:tc>
        <w:tc>
          <w:tcPr>
            <w:tcW w:w="1761" w:type="pct"/>
            <w:gridSpan w:val="2"/>
            <w:shd w:val="clear" w:color="auto" w:fill="auto"/>
            <w:vAlign w:val="bottom"/>
          </w:tcPr>
          <w:p w14:paraId="5A7863ED">
            <w:pPr>
              <w:pStyle w:val="48"/>
            </w:pPr>
            <w:r>
              <w:rPr>
                <w:rFonts w:hint="eastAsia"/>
              </w:rPr>
              <w:t>居住用地</w:t>
            </w:r>
          </w:p>
        </w:tc>
        <w:tc>
          <w:tcPr>
            <w:tcW w:w="860" w:type="pct"/>
            <w:shd w:val="clear" w:color="auto" w:fill="auto"/>
            <w:vAlign w:val="bottom"/>
          </w:tcPr>
          <w:p w14:paraId="5520C1ED">
            <w:pPr>
              <w:pStyle w:val="48"/>
            </w:pPr>
            <w:r>
              <w:rPr>
                <w:rFonts w:hint="eastAsia"/>
              </w:rPr>
              <w:t>162.83</w:t>
            </w:r>
          </w:p>
        </w:tc>
        <w:tc>
          <w:tcPr>
            <w:tcW w:w="1064" w:type="pct"/>
            <w:shd w:val="clear" w:color="auto" w:fill="auto"/>
            <w:vAlign w:val="bottom"/>
          </w:tcPr>
          <w:p w14:paraId="1A6B2CD0">
            <w:pPr>
              <w:pStyle w:val="48"/>
            </w:pPr>
            <w:r>
              <w:rPr>
                <w:rFonts w:hint="eastAsia"/>
              </w:rPr>
              <w:t>150</w:t>
            </w:r>
          </w:p>
        </w:tc>
        <w:tc>
          <w:tcPr>
            <w:tcW w:w="826" w:type="pct"/>
            <w:shd w:val="clear" w:color="auto" w:fill="auto"/>
            <w:vAlign w:val="bottom"/>
          </w:tcPr>
          <w:p w14:paraId="43996138">
            <w:pPr>
              <w:pStyle w:val="48"/>
            </w:pPr>
            <w:r>
              <w:rPr>
                <w:rFonts w:hint="eastAsia"/>
              </w:rPr>
              <w:t>24425</w:t>
            </w:r>
          </w:p>
        </w:tc>
      </w:tr>
      <w:tr w14:paraId="6FA923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shd w:val="clear" w:color="auto" w:fill="auto"/>
            <w:vAlign w:val="center"/>
          </w:tcPr>
          <w:p w14:paraId="396682C5">
            <w:pPr>
              <w:pStyle w:val="48"/>
            </w:pPr>
            <w:r>
              <w:rPr>
                <w:rFonts w:hint="eastAsia"/>
              </w:rPr>
              <w:t>A</w:t>
            </w:r>
          </w:p>
        </w:tc>
        <w:tc>
          <w:tcPr>
            <w:tcW w:w="1761" w:type="pct"/>
            <w:gridSpan w:val="2"/>
            <w:shd w:val="clear" w:color="auto" w:fill="auto"/>
            <w:vAlign w:val="bottom"/>
          </w:tcPr>
          <w:p w14:paraId="3B89B05D">
            <w:pPr>
              <w:pStyle w:val="48"/>
            </w:pPr>
            <w:r>
              <w:rPr>
                <w:rFonts w:hint="eastAsia"/>
              </w:rPr>
              <w:t>公共管理与公共服务设施用地</w:t>
            </w:r>
          </w:p>
        </w:tc>
        <w:tc>
          <w:tcPr>
            <w:tcW w:w="860" w:type="pct"/>
            <w:shd w:val="clear" w:color="auto" w:fill="auto"/>
            <w:vAlign w:val="center"/>
          </w:tcPr>
          <w:p w14:paraId="0F74BF0C">
            <w:pPr>
              <w:pStyle w:val="48"/>
            </w:pPr>
            <w:r>
              <w:t>27.0</w:t>
            </w:r>
            <w:r>
              <w:rPr>
                <w:rFonts w:hint="eastAsia"/>
              </w:rPr>
              <w:t>5</w:t>
            </w:r>
          </w:p>
        </w:tc>
        <w:tc>
          <w:tcPr>
            <w:tcW w:w="1064" w:type="pct"/>
            <w:shd w:val="clear" w:color="auto" w:fill="auto"/>
            <w:vAlign w:val="bottom"/>
          </w:tcPr>
          <w:p w14:paraId="38D4D633">
            <w:pPr>
              <w:pStyle w:val="48"/>
            </w:pPr>
            <w:r>
              <w:rPr>
                <w:rFonts w:hint="eastAsia"/>
              </w:rPr>
              <w:t>100</w:t>
            </w:r>
          </w:p>
        </w:tc>
        <w:tc>
          <w:tcPr>
            <w:tcW w:w="826" w:type="pct"/>
            <w:shd w:val="clear" w:color="auto" w:fill="auto"/>
            <w:vAlign w:val="bottom"/>
          </w:tcPr>
          <w:p w14:paraId="079AB635">
            <w:pPr>
              <w:pStyle w:val="48"/>
            </w:pPr>
            <w:r>
              <w:rPr>
                <w:rFonts w:hint="eastAsia"/>
              </w:rPr>
              <w:t>2705</w:t>
            </w:r>
          </w:p>
        </w:tc>
      </w:tr>
      <w:tr w14:paraId="608B8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369" w:hRule="exact"/>
          <w:jc w:val="center"/>
        </w:trPr>
        <w:tc>
          <w:tcPr>
            <w:tcW w:w="489" w:type="pct"/>
            <w:vAlign w:val="bottom"/>
          </w:tcPr>
          <w:p w14:paraId="659DA459">
            <w:pPr>
              <w:pStyle w:val="48"/>
            </w:pPr>
            <w:r>
              <w:rPr>
                <w:rFonts w:hint="eastAsia"/>
              </w:rPr>
              <w:t>B</w:t>
            </w:r>
          </w:p>
          <w:p w14:paraId="06A34096">
            <w:pPr>
              <w:pStyle w:val="48"/>
            </w:pPr>
          </w:p>
        </w:tc>
        <w:tc>
          <w:tcPr>
            <w:tcW w:w="1761" w:type="pct"/>
            <w:gridSpan w:val="2"/>
            <w:shd w:val="clear" w:color="auto" w:fill="auto"/>
            <w:vAlign w:val="bottom"/>
          </w:tcPr>
          <w:p w14:paraId="1730C40C">
            <w:pPr>
              <w:pStyle w:val="48"/>
            </w:pPr>
            <w:r>
              <w:rPr>
                <w:rFonts w:hint="eastAsia"/>
              </w:rPr>
              <w:t>商业服务业设施用地</w:t>
            </w:r>
          </w:p>
        </w:tc>
        <w:tc>
          <w:tcPr>
            <w:tcW w:w="860" w:type="pct"/>
            <w:shd w:val="clear" w:color="auto" w:fill="auto"/>
            <w:vAlign w:val="center"/>
          </w:tcPr>
          <w:p w14:paraId="0FC80A43">
            <w:pPr>
              <w:pStyle w:val="48"/>
            </w:pPr>
            <w:r>
              <w:t>114.32</w:t>
            </w:r>
          </w:p>
        </w:tc>
        <w:tc>
          <w:tcPr>
            <w:tcW w:w="1064" w:type="pct"/>
            <w:shd w:val="clear" w:color="auto" w:fill="auto"/>
            <w:vAlign w:val="center"/>
          </w:tcPr>
          <w:p w14:paraId="7A3E096B">
            <w:pPr>
              <w:pStyle w:val="48"/>
            </w:pPr>
            <w:r>
              <w:rPr>
                <w:rFonts w:hint="eastAsia"/>
              </w:rPr>
              <w:t>100</w:t>
            </w:r>
          </w:p>
        </w:tc>
        <w:tc>
          <w:tcPr>
            <w:tcW w:w="826" w:type="pct"/>
            <w:shd w:val="clear" w:color="auto" w:fill="auto"/>
            <w:vAlign w:val="bottom"/>
          </w:tcPr>
          <w:p w14:paraId="1893693A">
            <w:pPr>
              <w:pStyle w:val="48"/>
            </w:pPr>
            <w:r>
              <w:rPr>
                <w:rFonts w:hint="eastAsia"/>
              </w:rPr>
              <w:t>11432</w:t>
            </w:r>
          </w:p>
        </w:tc>
      </w:tr>
      <w:tr w14:paraId="6A796D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shd w:val="clear" w:color="auto" w:fill="auto"/>
            <w:vAlign w:val="center"/>
          </w:tcPr>
          <w:p w14:paraId="74ACD7C3">
            <w:pPr>
              <w:pStyle w:val="48"/>
            </w:pPr>
            <w:r>
              <w:t>S</w:t>
            </w:r>
          </w:p>
          <w:p w14:paraId="23E7E76B">
            <w:pPr>
              <w:pStyle w:val="48"/>
            </w:pPr>
          </w:p>
        </w:tc>
        <w:tc>
          <w:tcPr>
            <w:tcW w:w="1761" w:type="pct"/>
            <w:gridSpan w:val="2"/>
            <w:shd w:val="clear" w:color="auto" w:fill="auto"/>
            <w:vAlign w:val="center"/>
          </w:tcPr>
          <w:p w14:paraId="01A7484E">
            <w:pPr>
              <w:pStyle w:val="48"/>
            </w:pPr>
            <w:r>
              <w:rPr>
                <w:rFonts w:hint="eastAsia"/>
              </w:rPr>
              <w:t>道路交通设施用地</w:t>
            </w:r>
          </w:p>
        </w:tc>
        <w:tc>
          <w:tcPr>
            <w:tcW w:w="860" w:type="pct"/>
            <w:shd w:val="clear" w:color="auto" w:fill="auto"/>
            <w:vAlign w:val="center"/>
          </w:tcPr>
          <w:p w14:paraId="74B1CD4C">
            <w:pPr>
              <w:pStyle w:val="48"/>
            </w:pPr>
            <w:r>
              <w:rPr>
                <w:rFonts w:hint="eastAsia"/>
              </w:rPr>
              <w:t>36.06</w:t>
            </w:r>
          </w:p>
        </w:tc>
        <w:tc>
          <w:tcPr>
            <w:tcW w:w="1064" w:type="pct"/>
            <w:shd w:val="clear" w:color="auto" w:fill="auto"/>
            <w:vAlign w:val="center"/>
          </w:tcPr>
          <w:p w14:paraId="36416C69">
            <w:pPr>
              <w:pStyle w:val="48"/>
            </w:pPr>
            <w:r>
              <w:rPr>
                <w:rFonts w:hint="eastAsia"/>
              </w:rPr>
              <w:t>30</w:t>
            </w:r>
          </w:p>
        </w:tc>
        <w:tc>
          <w:tcPr>
            <w:tcW w:w="826" w:type="pct"/>
            <w:shd w:val="clear" w:color="auto" w:fill="auto"/>
            <w:vAlign w:val="center"/>
          </w:tcPr>
          <w:p w14:paraId="18CEE8B3">
            <w:pPr>
              <w:pStyle w:val="48"/>
            </w:pPr>
            <w:r>
              <w:rPr>
                <w:rFonts w:hint="eastAsia"/>
              </w:rPr>
              <w:t>1089</w:t>
            </w:r>
          </w:p>
        </w:tc>
      </w:tr>
      <w:tr w14:paraId="3B3E6B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shd w:val="clear" w:color="auto" w:fill="auto"/>
            <w:vAlign w:val="center"/>
          </w:tcPr>
          <w:p w14:paraId="60B29FA4">
            <w:pPr>
              <w:pStyle w:val="48"/>
            </w:pPr>
            <w:r>
              <w:rPr>
                <w:rFonts w:hint="eastAsia"/>
              </w:rPr>
              <w:t>M</w:t>
            </w:r>
          </w:p>
        </w:tc>
        <w:tc>
          <w:tcPr>
            <w:tcW w:w="1761" w:type="pct"/>
            <w:gridSpan w:val="2"/>
            <w:shd w:val="clear" w:color="auto" w:fill="auto"/>
            <w:vAlign w:val="center"/>
          </w:tcPr>
          <w:p w14:paraId="322AD416">
            <w:pPr>
              <w:pStyle w:val="48"/>
            </w:pPr>
            <w:r>
              <w:rPr>
                <w:rFonts w:hint="eastAsia"/>
              </w:rPr>
              <w:t>工业用地</w:t>
            </w:r>
          </w:p>
        </w:tc>
        <w:tc>
          <w:tcPr>
            <w:tcW w:w="860" w:type="pct"/>
            <w:shd w:val="clear" w:color="auto" w:fill="auto"/>
            <w:vAlign w:val="center"/>
          </w:tcPr>
          <w:p w14:paraId="4996D5FB">
            <w:pPr>
              <w:pStyle w:val="48"/>
            </w:pPr>
            <w:r>
              <w:rPr>
                <w:rFonts w:hint="eastAsia"/>
              </w:rPr>
              <w:t>10.85</w:t>
            </w:r>
          </w:p>
        </w:tc>
        <w:tc>
          <w:tcPr>
            <w:tcW w:w="1064" w:type="pct"/>
            <w:shd w:val="clear" w:color="auto" w:fill="auto"/>
            <w:vAlign w:val="center"/>
          </w:tcPr>
          <w:p w14:paraId="3927BFDA">
            <w:pPr>
              <w:pStyle w:val="48"/>
            </w:pPr>
            <w:r>
              <w:rPr>
                <w:rFonts w:hint="eastAsia"/>
              </w:rPr>
              <w:t>100</w:t>
            </w:r>
          </w:p>
        </w:tc>
        <w:tc>
          <w:tcPr>
            <w:tcW w:w="826" w:type="pct"/>
            <w:shd w:val="clear" w:color="auto" w:fill="auto"/>
            <w:vAlign w:val="center"/>
          </w:tcPr>
          <w:p w14:paraId="76B5B18B">
            <w:pPr>
              <w:pStyle w:val="48"/>
            </w:pPr>
            <w:r>
              <w:rPr>
                <w:rFonts w:hint="eastAsia"/>
              </w:rPr>
              <w:t>1085</w:t>
            </w:r>
          </w:p>
        </w:tc>
      </w:tr>
      <w:tr w14:paraId="3C42B5A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shd w:val="clear" w:color="auto" w:fill="auto"/>
            <w:vAlign w:val="center"/>
          </w:tcPr>
          <w:p w14:paraId="62B80FD3">
            <w:pPr>
              <w:pStyle w:val="48"/>
            </w:pPr>
            <w:r>
              <w:rPr>
                <w:rFonts w:hint="eastAsia"/>
              </w:rPr>
              <w:t>W</w:t>
            </w:r>
          </w:p>
        </w:tc>
        <w:tc>
          <w:tcPr>
            <w:tcW w:w="1761" w:type="pct"/>
            <w:gridSpan w:val="2"/>
            <w:shd w:val="clear" w:color="auto" w:fill="auto"/>
            <w:vAlign w:val="center"/>
          </w:tcPr>
          <w:p w14:paraId="5CEB752A">
            <w:pPr>
              <w:pStyle w:val="48"/>
            </w:pPr>
            <w:r>
              <w:rPr>
                <w:rFonts w:hint="eastAsia"/>
              </w:rPr>
              <w:t>仓储用地</w:t>
            </w:r>
          </w:p>
        </w:tc>
        <w:tc>
          <w:tcPr>
            <w:tcW w:w="860" w:type="pct"/>
            <w:shd w:val="clear" w:color="auto" w:fill="auto"/>
            <w:vAlign w:val="center"/>
          </w:tcPr>
          <w:p w14:paraId="1FF32FA4">
            <w:pPr>
              <w:pStyle w:val="48"/>
            </w:pPr>
            <w:r>
              <w:t>154</w:t>
            </w:r>
            <w:r>
              <w:rPr>
                <w:rFonts w:hint="eastAsia"/>
              </w:rPr>
              <w:t>.72</w:t>
            </w:r>
          </w:p>
        </w:tc>
        <w:tc>
          <w:tcPr>
            <w:tcW w:w="1064" w:type="pct"/>
            <w:shd w:val="clear" w:color="auto" w:fill="auto"/>
            <w:vAlign w:val="center"/>
          </w:tcPr>
          <w:p w14:paraId="4650B27E">
            <w:pPr>
              <w:pStyle w:val="48"/>
            </w:pPr>
            <w:r>
              <w:rPr>
                <w:rFonts w:hint="eastAsia"/>
              </w:rPr>
              <w:t>100</w:t>
            </w:r>
          </w:p>
        </w:tc>
        <w:tc>
          <w:tcPr>
            <w:tcW w:w="826" w:type="pct"/>
            <w:shd w:val="clear" w:color="auto" w:fill="auto"/>
            <w:vAlign w:val="center"/>
          </w:tcPr>
          <w:p w14:paraId="4085A354">
            <w:pPr>
              <w:pStyle w:val="48"/>
            </w:pPr>
            <w:r>
              <w:rPr>
                <w:rFonts w:hint="eastAsia"/>
              </w:rPr>
              <w:t>15472</w:t>
            </w:r>
          </w:p>
        </w:tc>
      </w:tr>
      <w:tr w14:paraId="47F9A6D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shd w:val="clear" w:color="auto" w:fill="auto"/>
            <w:vAlign w:val="center"/>
          </w:tcPr>
          <w:p w14:paraId="61701B07">
            <w:pPr>
              <w:pStyle w:val="48"/>
            </w:pPr>
            <w:r>
              <w:rPr>
                <w:rFonts w:hint="eastAsia"/>
              </w:rPr>
              <w:t>U</w:t>
            </w:r>
          </w:p>
        </w:tc>
        <w:tc>
          <w:tcPr>
            <w:tcW w:w="1761" w:type="pct"/>
            <w:gridSpan w:val="2"/>
            <w:shd w:val="clear" w:color="auto" w:fill="auto"/>
            <w:vAlign w:val="center"/>
          </w:tcPr>
          <w:p w14:paraId="54B9E28F">
            <w:pPr>
              <w:pStyle w:val="48"/>
            </w:pPr>
          </w:p>
        </w:tc>
        <w:tc>
          <w:tcPr>
            <w:tcW w:w="860" w:type="pct"/>
            <w:shd w:val="clear" w:color="auto" w:fill="auto"/>
            <w:vAlign w:val="bottom"/>
          </w:tcPr>
          <w:p w14:paraId="0FAD56C8">
            <w:pPr>
              <w:pStyle w:val="48"/>
            </w:pPr>
            <w:r>
              <w:t>17.36</w:t>
            </w:r>
          </w:p>
        </w:tc>
        <w:tc>
          <w:tcPr>
            <w:tcW w:w="1064" w:type="pct"/>
            <w:shd w:val="clear" w:color="auto" w:fill="auto"/>
            <w:vAlign w:val="center"/>
          </w:tcPr>
          <w:p w14:paraId="0F492E48">
            <w:pPr>
              <w:pStyle w:val="48"/>
            </w:pPr>
          </w:p>
        </w:tc>
        <w:tc>
          <w:tcPr>
            <w:tcW w:w="826" w:type="pct"/>
            <w:shd w:val="clear" w:color="auto" w:fill="auto"/>
            <w:vAlign w:val="center"/>
          </w:tcPr>
          <w:p w14:paraId="13B21199">
            <w:pPr>
              <w:pStyle w:val="48"/>
            </w:pPr>
          </w:p>
        </w:tc>
      </w:tr>
      <w:tr w14:paraId="6CFF99E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vMerge w:val="restart"/>
            <w:shd w:val="clear" w:color="auto" w:fill="auto"/>
            <w:vAlign w:val="center"/>
          </w:tcPr>
          <w:p w14:paraId="4B77897F">
            <w:pPr>
              <w:pStyle w:val="48"/>
            </w:pPr>
            <w:r>
              <w:t>G</w:t>
            </w:r>
          </w:p>
        </w:tc>
        <w:tc>
          <w:tcPr>
            <w:tcW w:w="1761" w:type="pct"/>
            <w:gridSpan w:val="2"/>
            <w:shd w:val="clear" w:color="auto" w:fill="auto"/>
            <w:vAlign w:val="bottom"/>
          </w:tcPr>
          <w:p w14:paraId="641EA19D">
            <w:pPr>
              <w:pStyle w:val="48"/>
            </w:pPr>
            <w:r>
              <w:rPr>
                <w:rFonts w:hint="eastAsia"/>
              </w:rPr>
              <w:t>绿地与广场用地</w:t>
            </w:r>
          </w:p>
        </w:tc>
        <w:tc>
          <w:tcPr>
            <w:tcW w:w="860" w:type="pct"/>
            <w:shd w:val="clear" w:color="auto" w:fill="auto"/>
            <w:vAlign w:val="center"/>
          </w:tcPr>
          <w:p w14:paraId="596C7343">
            <w:pPr>
              <w:pStyle w:val="48"/>
            </w:pPr>
            <w:r>
              <w:rPr>
                <w:rFonts w:hint="eastAsia"/>
              </w:rPr>
              <w:t>48.37</w:t>
            </w:r>
          </w:p>
        </w:tc>
        <w:tc>
          <w:tcPr>
            <w:tcW w:w="1064" w:type="pct"/>
            <w:shd w:val="clear" w:color="auto" w:fill="auto"/>
            <w:vAlign w:val="bottom"/>
          </w:tcPr>
          <w:p w14:paraId="51316D3A">
            <w:pPr>
              <w:pStyle w:val="48"/>
            </w:pPr>
          </w:p>
        </w:tc>
        <w:tc>
          <w:tcPr>
            <w:tcW w:w="826" w:type="pct"/>
            <w:shd w:val="clear" w:color="auto" w:fill="auto"/>
            <w:vAlign w:val="bottom"/>
          </w:tcPr>
          <w:p w14:paraId="34DE666E">
            <w:pPr>
              <w:pStyle w:val="48"/>
            </w:pPr>
          </w:p>
        </w:tc>
      </w:tr>
      <w:tr w14:paraId="2AF60D5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vMerge w:val="continue"/>
            <w:vAlign w:val="bottom"/>
          </w:tcPr>
          <w:p w14:paraId="23C407F9">
            <w:pPr>
              <w:pStyle w:val="48"/>
            </w:pPr>
          </w:p>
        </w:tc>
        <w:tc>
          <w:tcPr>
            <w:tcW w:w="613" w:type="pct"/>
            <w:vMerge w:val="restart"/>
            <w:shd w:val="clear" w:color="auto" w:fill="auto"/>
            <w:vAlign w:val="bottom"/>
          </w:tcPr>
          <w:p w14:paraId="75537294">
            <w:pPr>
              <w:pStyle w:val="48"/>
            </w:pPr>
            <w:r>
              <w:rPr>
                <w:rFonts w:hint="eastAsia"/>
              </w:rPr>
              <w:t>其中</w:t>
            </w:r>
          </w:p>
        </w:tc>
        <w:tc>
          <w:tcPr>
            <w:tcW w:w="1148" w:type="pct"/>
            <w:shd w:val="clear" w:color="auto" w:fill="auto"/>
            <w:vAlign w:val="center"/>
          </w:tcPr>
          <w:p w14:paraId="2C637377">
            <w:pPr>
              <w:pStyle w:val="48"/>
            </w:pPr>
            <w:r>
              <w:rPr>
                <w:rFonts w:hint="eastAsia"/>
              </w:rPr>
              <w:t>公共绿地</w:t>
            </w:r>
          </w:p>
        </w:tc>
        <w:tc>
          <w:tcPr>
            <w:tcW w:w="860" w:type="pct"/>
            <w:shd w:val="clear" w:color="auto" w:fill="auto"/>
            <w:vAlign w:val="center"/>
          </w:tcPr>
          <w:p w14:paraId="2D847412">
            <w:pPr>
              <w:pStyle w:val="48"/>
            </w:pPr>
            <w:r>
              <w:rPr>
                <w:rFonts w:hint="eastAsia"/>
              </w:rPr>
              <w:t>6.13</w:t>
            </w:r>
          </w:p>
        </w:tc>
        <w:tc>
          <w:tcPr>
            <w:tcW w:w="1064" w:type="pct"/>
            <w:shd w:val="clear" w:color="auto" w:fill="auto"/>
            <w:vAlign w:val="bottom"/>
          </w:tcPr>
          <w:p w14:paraId="14E22B78">
            <w:pPr>
              <w:pStyle w:val="48"/>
            </w:pPr>
          </w:p>
        </w:tc>
        <w:tc>
          <w:tcPr>
            <w:tcW w:w="826" w:type="pct"/>
            <w:shd w:val="clear" w:color="auto" w:fill="auto"/>
            <w:vAlign w:val="bottom"/>
          </w:tcPr>
          <w:p w14:paraId="2A69962A">
            <w:pPr>
              <w:pStyle w:val="48"/>
            </w:pPr>
          </w:p>
        </w:tc>
      </w:tr>
      <w:tr w14:paraId="0CB79C6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vMerge w:val="continue"/>
            <w:vAlign w:val="bottom"/>
          </w:tcPr>
          <w:p w14:paraId="5FF06518">
            <w:pPr>
              <w:pStyle w:val="48"/>
            </w:pPr>
          </w:p>
        </w:tc>
        <w:tc>
          <w:tcPr>
            <w:tcW w:w="613" w:type="pct"/>
            <w:vMerge w:val="continue"/>
            <w:vAlign w:val="bottom"/>
          </w:tcPr>
          <w:p w14:paraId="6D0D5590">
            <w:pPr>
              <w:pStyle w:val="48"/>
            </w:pPr>
          </w:p>
        </w:tc>
        <w:tc>
          <w:tcPr>
            <w:tcW w:w="1148" w:type="pct"/>
            <w:shd w:val="clear" w:color="auto" w:fill="auto"/>
            <w:vAlign w:val="center"/>
          </w:tcPr>
          <w:p w14:paraId="4C4B5BA7">
            <w:pPr>
              <w:pStyle w:val="48"/>
            </w:pPr>
            <w:r>
              <w:rPr>
                <w:rFonts w:hint="eastAsia"/>
              </w:rPr>
              <w:t>防护绿地</w:t>
            </w:r>
          </w:p>
        </w:tc>
        <w:tc>
          <w:tcPr>
            <w:tcW w:w="860" w:type="pct"/>
            <w:shd w:val="clear" w:color="auto" w:fill="auto"/>
            <w:vAlign w:val="center"/>
          </w:tcPr>
          <w:p w14:paraId="3A7C4C74">
            <w:pPr>
              <w:pStyle w:val="48"/>
            </w:pPr>
            <w:r>
              <w:rPr>
                <w:rFonts w:hint="eastAsia"/>
              </w:rPr>
              <w:t>4.53</w:t>
            </w:r>
          </w:p>
        </w:tc>
        <w:tc>
          <w:tcPr>
            <w:tcW w:w="1064" w:type="pct"/>
            <w:shd w:val="clear" w:color="auto" w:fill="auto"/>
            <w:vAlign w:val="bottom"/>
          </w:tcPr>
          <w:p w14:paraId="26E8C2DD">
            <w:pPr>
              <w:pStyle w:val="48"/>
            </w:pPr>
          </w:p>
        </w:tc>
        <w:tc>
          <w:tcPr>
            <w:tcW w:w="826" w:type="pct"/>
            <w:shd w:val="clear" w:color="auto" w:fill="auto"/>
            <w:vAlign w:val="bottom"/>
          </w:tcPr>
          <w:p w14:paraId="763275E8">
            <w:pPr>
              <w:pStyle w:val="48"/>
            </w:pPr>
          </w:p>
        </w:tc>
      </w:tr>
      <w:tr w14:paraId="5F4010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vMerge w:val="continue"/>
            <w:vAlign w:val="bottom"/>
          </w:tcPr>
          <w:p w14:paraId="5C159063">
            <w:pPr>
              <w:pStyle w:val="48"/>
            </w:pPr>
          </w:p>
        </w:tc>
        <w:tc>
          <w:tcPr>
            <w:tcW w:w="613" w:type="pct"/>
            <w:vMerge w:val="continue"/>
            <w:vAlign w:val="bottom"/>
          </w:tcPr>
          <w:p w14:paraId="39AF10F2">
            <w:pPr>
              <w:pStyle w:val="48"/>
            </w:pPr>
          </w:p>
        </w:tc>
        <w:tc>
          <w:tcPr>
            <w:tcW w:w="1148" w:type="pct"/>
            <w:shd w:val="clear" w:color="auto" w:fill="auto"/>
            <w:vAlign w:val="center"/>
          </w:tcPr>
          <w:p w14:paraId="77DD3328">
            <w:pPr>
              <w:pStyle w:val="48"/>
            </w:pPr>
            <w:r>
              <w:rPr>
                <w:rFonts w:hint="eastAsia"/>
              </w:rPr>
              <w:t>广场绿地</w:t>
            </w:r>
          </w:p>
        </w:tc>
        <w:tc>
          <w:tcPr>
            <w:tcW w:w="860" w:type="pct"/>
            <w:shd w:val="clear" w:color="auto" w:fill="auto"/>
            <w:vAlign w:val="center"/>
          </w:tcPr>
          <w:p w14:paraId="38E06D77">
            <w:pPr>
              <w:pStyle w:val="48"/>
            </w:pPr>
            <w:r>
              <w:t>6.98</w:t>
            </w:r>
          </w:p>
        </w:tc>
        <w:tc>
          <w:tcPr>
            <w:tcW w:w="1064" w:type="pct"/>
            <w:shd w:val="clear" w:color="auto" w:fill="auto"/>
            <w:vAlign w:val="bottom"/>
          </w:tcPr>
          <w:p w14:paraId="4800A51A">
            <w:pPr>
              <w:pStyle w:val="48"/>
            </w:pPr>
            <w:r>
              <w:rPr>
                <w:rFonts w:hint="eastAsia"/>
              </w:rPr>
              <w:t>30</w:t>
            </w:r>
          </w:p>
        </w:tc>
        <w:tc>
          <w:tcPr>
            <w:tcW w:w="826" w:type="pct"/>
            <w:shd w:val="clear" w:color="auto" w:fill="auto"/>
            <w:vAlign w:val="bottom"/>
          </w:tcPr>
          <w:p w14:paraId="1913ECC2">
            <w:pPr>
              <w:pStyle w:val="48"/>
            </w:pPr>
            <w:r>
              <w:rPr>
                <w:rFonts w:hint="eastAsia"/>
              </w:rPr>
              <w:t>136</w:t>
            </w:r>
          </w:p>
        </w:tc>
      </w:tr>
      <w:tr w14:paraId="18D3AF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exact"/>
          <w:jc w:val="center"/>
        </w:trPr>
        <w:tc>
          <w:tcPr>
            <w:tcW w:w="489" w:type="pct"/>
            <w:tcBorders>
              <w:left w:val="single" w:color="auto" w:sz="4" w:space="0"/>
            </w:tcBorders>
            <w:shd w:val="clear" w:color="auto" w:fill="auto"/>
            <w:vAlign w:val="bottom"/>
          </w:tcPr>
          <w:p w14:paraId="7720FE42">
            <w:pPr>
              <w:pStyle w:val="48"/>
            </w:pPr>
          </w:p>
        </w:tc>
        <w:tc>
          <w:tcPr>
            <w:tcW w:w="1761" w:type="pct"/>
            <w:gridSpan w:val="2"/>
            <w:shd w:val="clear" w:color="auto" w:fill="auto"/>
            <w:vAlign w:val="bottom"/>
          </w:tcPr>
          <w:p w14:paraId="3BF76B8E">
            <w:pPr>
              <w:pStyle w:val="48"/>
            </w:pPr>
            <w:r>
              <w:rPr>
                <w:rFonts w:hint="eastAsia"/>
              </w:rPr>
              <w:t>城市建设用地</w:t>
            </w:r>
          </w:p>
        </w:tc>
        <w:tc>
          <w:tcPr>
            <w:tcW w:w="860" w:type="pct"/>
            <w:shd w:val="clear" w:color="auto" w:fill="auto"/>
            <w:vAlign w:val="bottom"/>
          </w:tcPr>
          <w:p w14:paraId="4A560921">
            <w:pPr>
              <w:pStyle w:val="48"/>
            </w:pPr>
            <w:r>
              <w:rPr>
                <w:rFonts w:hint="eastAsia"/>
              </w:rPr>
              <w:t>1043.73</w:t>
            </w:r>
          </w:p>
        </w:tc>
        <w:tc>
          <w:tcPr>
            <w:tcW w:w="1064" w:type="pct"/>
            <w:shd w:val="clear" w:color="auto" w:fill="auto"/>
            <w:vAlign w:val="center"/>
          </w:tcPr>
          <w:p w14:paraId="06578268">
            <w:pPr>
              <w:pStyle w:val="48"/>
            </w:pPr>
          </w:p>
        </w:tc>
        <w:tc>
          <w:tcPr>
            <w:tcW w:w="826" w:type="pct"/>
            <w:shd w:val="clear" w:color="auto" w:fill="auto"/>
            <w:vAlign w:val="bottom"/>
          </w:tcPr>
          <w:p w14:paraId="5BF169DC">
            <w:pPr>
              <w:pStyle w:val="48"/>
            </w:pPr>
            <w:r>
              <w:t>56344</w:t>
            </w:r>
          </w:p>
        </w:tc>
      </w:tr>
    </w:tbl>
    <w:p w14:paraId="62A00B66">
      <w:pPr>
        <w:pStyle w:val="17"/>
        <w:spacing w:line="580" w:lineRule="exact"/>
        <w:ind w:firstLine="560" w:firstLineChars="200"/>
        <w:textAlignment w:val="baseline"/>
        <w:rPr>
          <w:szCs w:val="28"/>
        </w:rPr>
      </w:pPr>
      <w:r>
        <w:rPr>
          <w:rFonts w:hint="eastAsia"/>
          <w:szCs w:val="28"/>
        </w:rPr>
        <w:t>预测规划区电话主线</w:t>
      </w:r>
      <w:r>
        <w:rPr>
          <w:szCs w:val="28"/>
        </w:rPr>
        <w:t>56344</w:t>
      </w:r>
      <w:r>
        <w:rPr>
          <w:rFonts w:hint="eastAsia"/>
          <w:szCs w:val="28"/>
        </w:rPr>
        <w:t>线。</w:t>
      </w:r>
    </w:p>
    <w:p w14:paraId="5FFC7C0B">
      <w:pPr>
        <w:pStyle w:val="17"/>
        <w:spacing w:line="580" w:lineRule="exact"/>
        <w:ind w:firstLine="560" w:firstLineChars="200"/>
        <w:textAlignment w:val="baseline"/>
        <w:rPr>
          <w:szCs w:val="28"/>
        </w:rPr>
      </w:pPr>
      <w:r>
        <w:rPr>
          <w:rFonts w:hint="eastAsia"/>
          <w:szCs w:val="28"/>
        </w:rPr>
        <w:t>(二)市话端导规划</w:t>
      </w:r>
    </w:p>
    <w:p w14:paraId="104741F8">
      <w:pPr>
        <w:pStyle w:val="17"/>
        <w:spacing w:line="580" w:lineRule="exact"/>
        <w:ind w:firstLine="560" w:firstLineChars="200"/>
        <w:textAlignment w:val="baseline"/>
        <w:rPr>
          <w:szCs w:val="28"/>
        </w:rPr>
      </w:pPr>
      <w:r>
        <w:rPr>
          <w:rFonts w:hint="eastAsia"/>
          <w:szCs w:val="28"/>
        </w:rPr>
        <w:t>规划区内共设置4座电信分局。</w:t>
      </w:r>
    </w:p>
    <w:p w14:paraId="6EE47AF0">
      <w:pPr>
        <w:pStyle w:val="17"/>
        <w:spacing w:line="580" w:lineRule="exact"/>
        <w:ind w:firstLine="560" w:firstLineChars="200"/>
        <w:textAlignment w:val="baseline"/>
        <w:rPr>
          <w:szCs w:val="28"/>
        </w:rPr>
      </w:pPr>
      <w:r>
        <w:rPr>
          <w:rFonts w:hint="eastAsia"/>
          <w:szCs w:val="28"/>
        </w:rPr>
        <w:t>(三)市话线路规划</w:t>
      </w:r>
    </w:p>
    <w:p w14:paraId="776DD813">
      <w:pPr>
        <w:pStyle w:val="17"/>
        <w:spacing w:line="580" w:lineRule="exact"/>
        <w:ind w:firstLine="560" w:firstLineChars="200"/>
        <w:textAlignment w:val="baseline"/>
        <w:rPr>
          <w:szCs w:val="28"/>
        </w:rPr>
      </w:pPr>
      <w:r>
        <w:rPr>
          <w:rFonts w:hint="eastAsia"/>
          <w:szCs w:val="28"/>
        </w:rPr>
        <w:t>通信线路沿道路人行道或城市主干道综合管沟埋地敷设。</w:t>
      </w:r>
    </w:p>
    <w:p w14:paraId="0CBAECD5">
      <w:pPr>
        <w:pStyle w:val="17"/>
        <w:spacing w:line="560" w:lineRule="exact"/>
        <w:ind w:firstLine="560" w:firstLineChars="200"/>
        <w:textAlignment w:val="baseline"/>
        <w:rPr>
          <w:szCs w:val="28"/>
        </w:rPr>
      </w:pPr>
      <w:r>
        <w:rPr>
          <w:rFonts w:hint="eastAsia"/>
          <w:szCs w:val="28"/>
        </w:rPr>
        <w:t>居住区500～100户设一个电信机房，建筑面积为30～50m</w:t>
      </w:r>
      <w:r>
        <w:rPr>
          <w:rFonts w:hint="eastAsia"/>
          <w:szCs w:val="28"/>
          <w:vertAlign w:val="superscript"/>
        </w:rPr>
        <w:t>2</w:t>
      </w:r>
      <w:r>
        <w:rPr>
          <w:rFonts w:hint="eastAsia"/>
          <w:szCs w:val="28"/>
        </w:rPr>
        <w:t>。规划区内市话网系统，规划由电信分局，模块导引主干光缆至电信机房，再由电信机房引电缆（光缆）至用户，市话电缆（光缆）沿电信管道敷设。</w:t>
      </w:r>
    </w:p>
    <w:p w14:paraId="237A38DF">
      <w:pPr>
        <w:pStyle w:val="17"/>
        <w:spacing w:line="560" w:lineRule="exact"/>
        <w:ind w:firstLine="560" w:firstLineChars="200"/>
        <w:textAlignment w:val="baseline"/>
        <w:rPr>
          <w:szCs w:val="28"/>
        </w:rPr>
      </w:pPr>
      <w:r>
        <w:rPr>
          <w:rFonts w:hint="eastAsia"/>
          <w:szCs w:val="28"/>
        </w:rPr>
        <w:t>(四)邮政局所规划</w:t>
      </w:r>
    </w:p>
    <w:p w14:paraId="7329B37A">
      <w:pPr>
        <w:pStyle w:val="17"/>
        <w:spacing w:line="560" w:lineRule="exact"/>
        <w:ind w:firstLine="560" w:firstLineChars="200"/>
        <w:textAlignment w:val="baseline"/>
        <w:rPr>
          <w:szCs w:val="28"/>
        </w:rPr>
      </w:pPr>
      <w:r>
        <w:rPr>
          <w:rFonts w:hint="eastAsia"/>
          <w:szCs w:val="28"/>
        </w:rPr>
        <w:t>规划设置邮政支局1座，建筑面积为2500m</w:t>
      </w:r>
      <w:r>
        <w:rPr>
          <w:rFonts w:hint="eastAsia"/>
          <w:szCs w:val="28"/>
          <w:vertAlign w:val="superscript"/>
        </w:rPr>
        <w:t>2</w:t>
      </w:r>
      <w:r>
        <w:rPr>
          <w:rFonts w:hint="eastAsia"/>
          <w:szCs w:val="28"/>
        </w:rPr>
        <w:t>。</w:t>
      </w:r>
    </w:p>
    <w:p w14:paraId="6F8D03A9">
      <w:pPr>
        <w:pStyle w:val="17"/>
        <w:spacing w:line="560" w:lineRule="exact"/>
        <w:ind w:firstLine="560" w:firstLineChars="200"/>
        <w:textAlignment w:val="baseline"/>
        <w:rPr>
          <w:szCs w:val="28"/>
        </w:rPr>
      </w:pPr>
      <w:r>
        <w:rPr>
          <w:rFonts w:hint="eastAsia"/>
          <w:szCs w:val="28"/>
        </w:rPr>
        <w:t>(五)广播电视</w:t>
      </w:r>
    </w:p>
    <w:p w14:paraId="46801A61">
      <w:pPr>
        <w:pStyle w:val="17"/>
        <w:spacing w:line="560" w:lineRule="exact"/>
        <w:ind w:firstLine="560" w:firstLineChars="200"/>
        <w:textAlignment w:val="baseline"/>
        <w:rPr>
          <w:szCs w:val="28"/>
        </w:rPr>
      </w:pPr>
      <w:r>
        <w:rPr>
          <w:rFonts w:hint="eastAsia"/>
          <w:szCs w:val="28"/>
        </w:rPr>
        <w:t>1、规划目标</w:t>
      </w:r>
    </w:p>
    <w:p w14:paraId="291780A4">
      <w:pPr>
        <w:pStyle w:val="17"/>
        <w:spacing w:line="560" w:lineRule="exact"/>
        <w:ind w:firstLine="560" w:firstLineChars="200"/>
        <w:textAlignment w:val="baseline"/>
        <w:rPr>
          <w:szCs w:val="28"/>
        </w:rPr>
      </w:pPr>
      <w:r>
        <w:rPr>
          <w:rFonts w:hint="eastAsia"/>
          <w:szCs w:val="28"/>
        </w:rPr>
        <w:t>规划期内大力发展有线电视业务，有线电视普及率达到99%，同时在搞好与扩大广播电视信号传输主功能的前提下开展数据宽带综合通信业务，为用户提供话音数据和视频图像于一体的多媒体综合业务信息网，构建基于数字化有线电视网络的多媒体信息服务体系。</w:t>
      </w:r>
    </w:p>
    <w:p w14:paraId="32A1414A">
      <w:pPr>
        <w:pStyle w:val="17"/>
        <w:spacing w:line="560" w:lineRule="exact"/>
        <w:ind w:firstLine="560" w:firstLineChars="200"/>
        <w:textAlignment w:val="baseline"/>
        <w:rPr>
          <w:szCs w:val="28"/>
        </w:rPr>
      </w:pPr>
      <w:r>
        <w:rPr>
          <w:rFonts w:hint="eastAsia"/>
          <w:szCs w:val="28"/>
        </w:rPr>
        <w:t>2、线路规划</w:t>
      </w:r>
    </w:p>
    <w:p w14:paraId="4742125F">
      <w:pPr>
        <w:pStyle w:val="17"/>
        <w:spacing w:line="560" w:lineRule="exact"/>
        <w:ind w:firstLine="560" w:firstLineChars="200"/>
        <w:textAlignment w:val="baseline"/>
        <w:rPr>
          <w:rFonts w:cs="黑体"/>
          <w:bCs/>
          <w:kern w:val="44"/>
          <w:szCs w:val="28"/>
        </w:rPr>
      </w:pPr>
      <w:r>
        <w:rPr>
          <w:rFonts w:hint="eastAsia"/>
          <w:szCs w:val="28"/>
        </w:rPr>
        <w:t>规划有线电视电缆与通信电缆同沟地埋敷设，电视信号由市广电局统一供给。</w:t>
      </w:r>
    </w:p>
    <w:p w14:paraId="209209E2">
      <w:pPr>
        <w:pStyle w:val="38"/>
        <w:numPr>
          <w:ilvl w:val="0"/>
          <w:numId w:val="10"/>
        </w:numPr>
        <w:spacing w:before="0" w:beforeLines="0" w:after="0" w:afterLines="0" w:line="560" w:lineRule="exact"/>
        <w:rPr>
          <w:rFonts w:ascii="黑体" w:hAnsi="黑体"/>
          <w:b/>
        </w:rPr>
      </w:pPr>
      <w:bookmarkStart w:id="86" w:name="_Toc402516200"/>
      <w:bookmarkStart w:id="87" w:name="_Toc528317053"/>
      <w:r>
        <w:rPr>
          <w:rFonts w:hint="eastAsia" w:ascii="黑体" w:hAnsi="黑体"/>
          <w:b/>
        </w:rPr>
        <w:t>环境卫生规划</w:t>
      </w:r>
      <w:bookmarkEnd w:id="86"/>
      <w:bookmarkEnd w:id="87"/>
    </w:p>
    <w:p w14:paraId="3AC1EB8E">
      <w:pPr>
        <w:pStyle w:val="47"/>
        <w:spacing w:line="560" w:lineRule="exact"/>
      </w:pPr>
      <w:bookmarkStart w:id="88" w:name="_Toc243101042"/>
      <w:r>
        <w:t>(</w:t>
      </w:r>
      <w:r>
        <w:rPr>
          <w:rFonts w:hint="eastAsia"/>
        </w:rPr>
        <w:t>一</w:t>
      </w:r>
      <w:r>
        <w:t>)</w:t>
      </w:r>
      <w:r>
        <w:rPr>
          <w:rFonts w:hint="eastAsia"/>
        </w:rPr>
        <w:t>规划目标</w:t>
      </w:r>
      <w:bookmarkEnd w:id="88"/>
      <w:r>
        <w:rPr>
          <w:rFonts w:hint="eastAsia"/>
        </w:rPr>
        <w:t xml:space="preserve">                    </w:t>
      </w:r>
    </w:p>
    <w:p w14:paraId="36A43344">
      <w:pPr>
        <w:spacing w:line="560" w:lineRule="exact"/>
        <w:jc w:val="center"/>
        <w:rPr>
          <w:rFonts w:ascii="宋体" w:hAnsi="宋体"/>
          <w:b/>
          <w:sz w:val="28"/>
          <w:szCs w:val="28"/>
        </w:rPr>
      </w:pPr>
      <w:r>
        <w:rPr>
          <w:rFonts w:hint="eastAsia" w:ascii="宋体" w:hAnsi="宋体"/>
          <w:b/>
          <w:sz w:val="28"/>
          <w:szCs w:val="28"/>
        </w:rPr>
        <w:t>表16  环卫规划目标</w:t>
      </w:r>
    </w:p>
    <w:tbl>
      <w:tblPr>
        <w:tblStyle w:val="21"/>
        <w:tblW w:w="816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4948"/>
        <w:gridCol w:w="3212"/>
      </w:tblGrid>
      <w:tr w14:paraId="0FFB07B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4948" w:type="dxa"/>
            <w:vAlign w:val="center"/>
          </w:tcPr>
          <w:p w14:paraId="3EF61851">
            <w:pPr>
              <w:pStyle w:val="48"/>
            </w:pPr>
            <w:r>
              <w:rPr>
                <w:rFonts w:hint="eastAsia"/>
              </w:rPr>
              <w:t>项 目</w:t>
            </w:r>
          </w:p>
        </w:tc>
        <w:tc>
          <w:tcPr>
            <w:tcW w:w="3212" w:type="dxa"/>
            <w:vAlign w:val="center"/>
          </w:tcPr>
          <w:p w14:paraId="5FEA90DA">
            <w:pPr>
              <w:pStyle w:val="48"/>
            </w:pPr>
            <w:r>
              <w:rPr>
                <w:rFonts w:hint="eastAsia"/>
              </w:rPr>
              <w:t>规划目标(%)</w:t>
            </w:r>
          </w:p>
        </w:tc>
      </w:tr>
      <w:tr w14:paraId="4886348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4948" w:type="dxa"/>
            <w:vAlign w:val="center"/>
          </w:tcPr>
          <w:p w14:paraId="51A865B7">
            <w:pPr>
              <w:pStyle w:val="48"/>
            </w:pPr>
            <w:r>
              <w:rPr>
                <w:rFonts w:hint="eastAsia"/>
              </w:rPr>
              <w:t>垃圾无害化处理率</w:t>
            </w:r>
          </w:p>
        </w:tc>
        <w:tc>
          <w:tcPr>
            <w:tcW w:w="3212" w:type="dxa"/>
            <w:vAlign w:val="center"/>
          </w:tcPr>
          <w:p w14:paraId="3CDB94A2">
            <w:pPr>
              <w:pStyle w:val="48"/>
            </w:pPr>
            <w:r>
              <w:rPr>
                <w:rFonts w:hint="eastAsia"/>
              </w:rPr>
              <w:t>100</w:t>
            </w:r>
          </w:p>
        </w:tc>
      </w:tr>
      <w:tr w14:paraId="418C774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4948" w:type="dxa"/>
            <w:vAlign w:val="center"/>
          </w:tcPr>
          <w:p w14:paraId="6E861A3E">
            <w:pPr>
              <w:pStyle w:val="48"/>
            </w:pPr>
            <w:r>
              <w:rPr>
                <w:rFonts w:hint="eastAsia"/>
              </w:rPr>
              <w:t>粪便无害化处理率</w:t>
            </w:r>
          </w:p>
        </w:tc>
        <w:tc>
          <w:tcPr>
            <w:tcW w:w="3212" w:type="dxa"/>
            <w:vAlign w:val="center"/>
          </w:tcPr>
          <w:p w14:paraId="78360980">
            <w:pPr>
              <w:pStyle w:val="48"/>
            </w:pPr>
            <w:r>
              <w:rPr>
                <w:rFonts w:hint="eastAsia"/>
              </w:rPr>
              <w:t>100</w:t>
            </w:r>
          </w:p>
        </w:tc>
      </w:tr>
      <w:tr w14:paraId="199184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4948" w:type="dxa"/>
            <w:vAlign w:val="center"/>
          </w:tcPr>
          <w:p w14:paraId="16DF0139">
            <w:pPr>
              <w:pStyle w:val="48"/>
            </w:pPr>
            <w:r>
              <w:rPr>
                <w:rFonts w:hint="eastAsia"/>
              </w:rPr>
              <w:t>垃圾、粪便运输作业机械化率</w:t>
            </w:r>
          </w:p>
        </w:tc>
        <w:tc>
          <w:tcPr>
            <w:tcW w:w="3212" w:type="dxa"/>
            <w:vAlign w:val="center"/>
          </w:tcPr>
          <w:p w14:paraId="5BB77A22">
            <w:pPr>
              <w:pStyle w:val="48"/>
            </w:pPr>
            <w:r>
              <w:rPr>
                <w:rFonts w:hint="eastAsia"/>
              </w:rPr>
              <w:t>100</w:t>
            </w:r>
          </w:p>
        </w:tc>
      </w:tr>
      <w:tr w14:paraId="246492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4948" w:type="dxa"/>
            <w:vAlign w:val="center"/>
          </w:tcPr>
          <w:p w14:paraId="728301DA">
            <w:pPr>
              <w:pStyle w:val="48"/>
            </w:pPr>
            <w:r>
              <w:rPr>
                <w:rFonts w:hint="eastAsia"/>
              </w:rPr>
              <w:t>快车道清扫机械化率</w:t>
            </w:r>
          </w:p>
        </w:tc>
        <w:tc>
          <w:tcPr>
            <w:tcW w:w="3212" w:type="dxa"/>
            <w:vAlign w:val="center"/>
          </w:tcPr>
          <w:p w14:paraId="0E1B9D49">
            <w:pPr>
              <w:pStyle w:val="48"/>
            </w:pPr>
            <w:r>
              <w:rPr>
                <w:rFonts w:hint="eastAsia"/>
              </w:rPr>
              <w:t>85以上</w:t>
            </w:r>
          </w:p>
        </w:tc>
      </w:tr>
      <w:tr w14:paraId="29D484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4948" w:type="dxa"/>
            <w:vAlign w:val="center"/>
          </w:tcPr>
          <w:p w14:paraId="71B09AFB">
            <w:pPr>
              <w:pStyle w:val="48"/>
            </w:pPr>
            <w:r>
              <w:rPr>
                <w:rFonts w:hint="eastAsia"/>
              </w:rPr>
              <w:t>生活垃圾容器收集率</w:t>
            </w:r>
          </w:p>
        </w:tc>
        <w:tc>
          <w:tcPr>
            <w:tcW w:w="3212" w:type="dxa"/>
            <w:vAlign w:val="center"/>
          </w:tcPr>
          <w:p w14:paraId="2B24EFC7">
            <w:pPr>
              <w:pStyle w:val="48"/>
            </w:pPr>
            <w:r>
              <w:rPr>
                <w:rFonts w:hint="eastAsia"/>
              </w:rPr>
              <w:t>100</w:t>
            </w:r>
          </w:p>
        </w:tc>
      </w:tr>
      <w:tr w14:paraId="4BFDD40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4948" w:type="dxa"/>
            <w:vAlign w:val="center"/>
          </w:tcPr>
          <w:p w14:paraId="6C6870FA">
            <w:pPr>
              <w:pStyle w:val="48"/>
            </w:pPr>
            <w:r>
              <w:rPr>
                <w:rFonts w:hint="eastAsia"/>
              </w:rPr>
              <w:t>水冲式公厕占公厕总数</w:t>
            </w:r>
          </w:p>
        </w:tc>
        <w:tc>
          <w:tcPr>
            <w:tcW w:w="3212" w:type="dxa"/>
            <w:vAlign w:val="center"/>
          </w:tcPr>
          <w:p w14:paraId="04EEA52B">
            <w:pPr>
              <w:pStyle w:val="48"/>
            </w:pPr>
            <w:r>
              <w:rPr>
                <w:rFonts w:hint="eastAsia"/>
              </w:rPr>
              <w:t>100</w:t>
            </w:r>
          </w:p>
        </w:tc>
      </w:tr>
      <w:tr w14:paraId="2D7B7D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4948" w:type="dxa"/>
            <w:vAlign w:val="center"/>
          </w:tcPr>
          <w:p w14:paraId="295416E0">
            <w:pPr>
              <w:pStyle w:val="48"/>
            </w:pPr>
            <w:r>
              <w:rPr>
                <w:rFonts w:hint="eastAsia"/>
              </w:rPr>
              <w:t>一、二类公厕占公厕总数的比例</w:t>
            </w:r>
          </w:p>
        </w:tc>
        <w:tc>
          <w:tcPr>
            <w:tcW w:w="3212" w:type="dxa"/>
            <w:vAlign w:val="center"/>
          </w:tcPr>
          <w:p w14:paraId="0A427A60">
            <w:pPr>
              <w:pStyle w:val="48"/>
            </w:pPr>
            <w:r>
              <w:rPr>
                <w:rFonts w:hint="eastAsia"/>
              </w:rPr>
              <w:t>90以上</w:t>
            </w:r>
          </w:p>
        </w:tc>
      </w:tr>
    </w:tbl>
    <w:p w14:paraId="04DE572A">
      <w:pPr>
        <w:pStyle w:val="17"/>
        <w:spacing w:line="580" w:lineRule="exact"/>
        <w:ind w:firstLine="560" w:firstLineChars="200"/>
        <w:textAlignment w:val="baseline"/>
        <w:rPr>
          <w:szCs w:val="28"/>
        </w:rPr>
      </w:pPr>
      <w:bookmarkStart w:id="89" w:name="_Toc243101043"/>
      <w:r>
        <w:rPr>
          <w:rFonts w:hint="eastAsia"/>
          <w:szCs w:val="28"/>
        </w:rPr>
        <w:t>(二)垃圾与粪便产量预测</w:t>
      </w:r>
      <w:bookmarkEnd w:id="89"/>
    </w:p>
    <w:p w14:paraId="64DE20AB">
      <w:pPr>
        <w:pStyle w:val="17"/>
        <w:spacing w:line="580" w:lineRule="exact"/>
        <w:ind w:firstLine="560" w:firstLineChars="200"/>
        <w:textAlignment w:val="baseline"/>
        <w:rPr>
          <w:szCs w:val="28"/>
        </w:rPr>
      </w:pPr>
      <w:r>
        <w:rPr>
          <w:rFonts w:hint="eastAsia"/>
          <w:szCs w:val="28"/>
        </w:rPr>
        <w:t>1、生活垃圾日产量预测</w:t>
      </w:r>
    </w:p>
    <w:p w14:paraId="4722F235">
      <w:pPr>
        <w:pStyle w:val="17"/>
        <w:spacing w:line="580" w:lineRule="exact"/>
        <w:ind w:firstLine="560" w:firstLineChars="200"/>
        <w:textAlignment w:val="baseline"/>
        <w:rPr>
          <w:szCs w:val="28"/>
        </w:rPr>
      </w:pPr>
      <w:r>
        <w:rPr>
          <w:rFonts w:hint="eastAsia"/>
          <w:szCs w:val="28"/>
        </w:rPr>
        <w:t>规划预测本次规划人均生活垃圾日产量取1.20kg/人·d，生活垃圾产量为</w:t>
      </w:r>
      <w:r>
        <w:rPr>
          <w:szCs w:val="28"/>
        </w:rPr>
        <w:t>118</w:t>
      </w:r>
      <w:r>
        <w:rPr>
          <w:rFonts w:hint="eastAsia"/>
          <w:szCs w:val="28"/>
        </w:rPr>
        <w:t>t/d。</w:t>
      </w:r>
    </w:p>
    <w:p w14:paraId="39DAC30B">
      <w:pPr>
        <w:pStyle w:val="17"/>
        <w:spacing w:line="580" w:lineRule="exact"/>
        <w:ind w:firstLine="560" w:firstLineChars="200"/>
        <w:textAlignment w:val="baseline"/>
        <w:rPr>
          <w:szCs w:val="28"/>
        </w:rPr>
      </w:pPr>
      <w:r>
        <w:rPr>
          <w:rFonts w:hint="eastAsia"/>
          <w:szCs w:val="28"/>
        </w:rPr>
        <w:t>2、医疗卫生垃圾产量预测</w:t>
      </w:r>
    </w:p>
    <w:p w14:paraId="2EDC2958">
      <w:pPr>
        <w:pStyle w:val="17"/>
        <w:spacing w:line="580" w:lineRule="exact"/>
        <w:ind w:firstLine="560" w:firstLineChars="200"/>
        <w:textAlignment w:val="baseline"/>
        <w:rPr>
          <w:szCs w:val="28"/>
        </w:rPr>
      </w:pPr>
      <w:r>
        <w:rPr>
          <w:rFonts w:hint="eastAsia"/>
          <w:szCs w:val="28"/>
        </w:rPr>
        <w:t>医疗垃圾由门诊医疗卫生垃圾、住院部医疗卫生垃圾和其他医疗卫生垃圾三部分构成。医疗垃圾产量应具体按照医院规模确定。</w:t>
      </w:r>
    </w:p>
    <w:p w14:paraId="4444C089">
      <w:pPr>
        <w:pStyle w:val="17"/>
        <w:spacing w:line="580" w:lineRule="exact"/>
        <w:ind w:firstLine="560" w:firstLineChars="200"/>
        <w:textAlignment w:val="baseline"/>
        <w:rPr>
          <w:szCs w:val="28"/>
        </w:rPr>
      </w:pPr>
      <w:r>
        <w:rPr>
          <w:rFonts w:hint="eastAsia"/>
          <w:szCs w:val="28"/>
        </w:rPr>
        <w:t>3、粪便产量预测</w:t>
      </w:r>
    </w:p>
    <w:p w14:paraId="05D218C0">
      <w:pPr>
        <w:pStyle w:val="17"/>
        <w:spacing w:line="580" w:lineRule="exact"/>
        <w:ind w:firstLine="560" w:firstLineChars="200"/>
        <w:textAlignment w:val="baseline"/>
        <w:rPr>
          <w:szCs w:val="28"/>
        </w:rPr>
      </w:pPr>
      <w:r>
        <w:rPr>
          <w:rFonts w:hint="eastAsia"/>
          <w:szCs w:val="28"/>
        </w:rPr>
        <w:t>人均粪便日产量按1kg/人·d计，粪便日产生量为旧城区</w:t>
      </w:r>
      <w:r>
        <w:rPr>
          <w:szCs w:val="28"/>
        </w:rPr>
        <w:t>99</w:t>
      </w:r>
      <w:r>
        <w:rPr>
          <w:rFonts w:hint="eastAsia"/>
          <w:szCs w:val="28"/>
        </w:rPr>
        <w:t>t/d。</w:t>
      </w:r>
    </w:p>
    <w:p w14:paraId="637E9BAF">
      <w:pPr>
        <w:pStyle w:val="17"/>
        <w:spacing w:line="580" w:lineRule="exact"/>
        <w:ind w:firstLine="560" w:firstLineChars="200"/>
        <w:textAlignment w:val="baseline"/>
        <w:rPr>
          <w:szCs w:val="28"/>
        </w:rPr>
      </w:pPr>
      <w:bookmarkStart w:id="90" w:name="_Toc243101044"/>
      <w:r>
        <w:rPr>
          <w:rFonts w:hint="eastAsia"/>
          <w:szCs w:val="28"/>
        </w:rPr>
        <w:t>(三)垃圾收运系统规划</w:t>
      </w:r>
      <w:bookmarkEnd w:id="90"/>
    </w:p>
    <w:p w14:paraId="4769CA8E">
      <w:pPr>
        <w:pStyle w:val="17"/>
        <w:spacing w:line="580" w:lineRule="exact"/>
        <w:ind w:firstLine="560" w:firstLineChars="200"/>
        <w:textAlignment w:val="baseline"/>
        <w:rPr>
          <w:szCs w:val="28"/>
        </w:rPr>
      </w:pPr>
      <w:r>
        <w:rPr>
          <w:rFonts w:hint="eastAsia"/>
          <w:szCs w:val="28"/>
        </w:rPr>
        <w:t>生活垃圾的收集设施的规划建设应以方便居民生活，便于收集运输作业，具有可操作性和可实施性为基本原则。供居民使用的生活垃圾容器和垃圾收集点的位置要固定，既应符合方便居民和不影响市容观瞻等要求，又要利于垃圾的分类收集和机械化运输。</w:t>
      </w:r>
    </w:p>
    <w:p w14:paraId="2B56D9AA">
      <w:pPr>
        <w:pStyle w:val="17"/>
        <w:spacing w:line="580" w:lineRule="exact"/>
        <w:ind w:firstLine="560" w:firstLineChars="200"/>
        <w:textAlignment w:val="baseline"/>
        <w:rPr>
          <w:szCs w:val="28"/>
        </w:rPr>
      </w:pPr>
      <w:r>
        <w:rPr>
          <w:rFonts w:hint="eastAsia"/>
          <w:szCs w:val="28"/>
        </w:rPr>
        <w:t>1、集装箱式垃圾收集点</w:t>
      </w:r>
    </w:p>
    <w:p w14:paraId="7063DB4B">
      <w:pPr>
        <w:pStyle w:val="17"/>
        <w:spacing w:line="580" w:lineRule="exact"/>
        <w:ind w:firstLine="560" w:firstLineChars="200"/>
        <w:textAlignment w:val="baseline"/>
        <w:rPr>
          <w:szCs w:val="28"/>
        </w:rPr>
      </w:pPr>
      <w:r>
        <w:rPr>
          <w:rFonts w:hint="eastAsia"/>
          <w:szCs w:val="28"/>
        </w:rPr>
        <w:t>在居民区设置可供居民直接倾倒垃圾的集装箱式垃圾收集点，其服务半径不超过300m。</w:t>
      </w:r>
    </w:p>
    <w:p w14:paraId="70AD9EA3">
      <w:pPr>
        <w:pStyle w:val="17"/>
        <w:spacing w:line="580" w:lineRule="exact"/>
        <w:ind w:firstLine="560" w:firstLineChars="200"/>
        <w:textAlignment w:val="baseline"/>
        <w:rPr>
          <w:szCs w:val="28"/>
        </w:rPr>
      </w:pPr>
      <w:r>
        <w:rPr>
          <w:rFonts w:hint="eastAsia"/>
          <w:szCs w:val="28"/>
        </w:rPr>
        <w:t>高层建筑应在建筑物内设置垃圾收集站，新建高层建筑可采用管道气力抽吸收集方式。</w:t>
      </w:r>
    </w:p>
    <w:p w14:paraId="04F1A050">
      <w:pPr>
        <w:pStyle w:val="17"/>
        <w:spacing w:line="580" w:lineRule="exact"/>
        <w:ind w:firstLine="560" w:firstLineChars="200"/>
        <w:textAlignment w:val="baseline"/>
        <w:rPr>
          <w:szCs w:val="28"/>
        </w:rPr>
      </w:pPr>
      <w:r>
        <w:rPr>
          <w:rFonts w:hint="eastAsia"/>
          <w:szCs w:val="28"/>
        </w:rPr>
        <w:t>商业区和企事业单位等处的生活垃圾收集方式可根据具体情况，设置垃圾容器间或集装箱垃圾站。</w:t>
      </w:r>
    </w:p>
    <w:p w14:paraId="59FCB7E8">
      <w:pPr>
        <w:pStyle w:val="17"/>
        <w:spacing w:line="580" w:lineRule="exact"/>
        <w:ind w:firstLine="560" w:firstLineChars="200"/>
        <w:textAlignment w:val="baseline"/>
        <w:rPr>
          <w:szCs w:val="28"/>
        </w:rPr>
      </w:pPr>
      <w:r>
        <w:rPr>
          <w:rFonts w:hint="eastAsia"/>
          <w:szCs w:val="28"/>
        </w:rPr>
        <w:t>道路两旁设置废物箱：商业大街25-50m设1个，交通干道50-80m设1个，一般道路80-100m设1个。</w:t>
      </w:r>
    </w:p>
    <w:p w14:paraId="58A1864E">
      <w:pPr>
        <w:pStyle w:val="17"/>
        <w:spacing w:line="580" w:lineRule="exact"/>
        <w:ind w:firstLine="560" w:firstLineChars="200"/>
        <w:textAlignment w:val="baseline"/>
        <w:rPr>
          <w:szCs w:val="28"/>
        </w:rPr>
      </w:pPr>
      <w:r>
        <w:rPr>
          <w:rFonts w:hint="eastAsia"/>
          <w:szCs w:val="28"/>
        </w:rPr>
        <w:t>2、环卫车辆配置</w:t>
      </w:r>
    </w:p>
    <w:p w14:paraId="334C77F4">
      <w:pPr>
        <w:pStyle w:val="17"/>
        <w:spacing w:line="580" w:lineRule="exact"/>
        <w:ind w:firstLine="560" w:firstLineChars="200"/>
        <w:textAlignment w:val="baseline"/>
        <w:rPr>
          <w:szCs w:val="28"/>
        </w:rPr>
      </w:pPr>
      <w:r>
        <w:rPr>
          <w:rFonts w:hint="eastAsia"/>
          <w:szCs w:val="28"/>
        </w:rPr>
        <w:t>根据《城市环境卫生设施规划规范(GB50337-2003)》，环境卫生车辆数量指标采用2.5辆/万人预测，本次规划需配置环卫作业车约</w:t>
      </w:r>
      <w:r>
        <w:rPr>
          <w:szCs w:val="28"/>
        </w:rPr>
        <w:t>25</w:t>
      </w:r>
      <w:r>
        <w:rPr>
          <w:rFonts w:hint="eastAsia"/>
          <w:szCs w:val="28"/>
        </w:rPr>
        <w:t>台。</w:t>
      </w:r>
    </w:p>
    <w:p w14:paraId="5E36F99A">
      <w:pPr>
        <w:pStyle w:val="17"/>
        <w:spacing w:line="580" w:lineRule="exact"/>
        <w:ind w:firstLine="560" w:firstLineChars="200"/>
        <w:textAlignment w:val="baseline"/>
        <w:rPr>
          <w:szCs w:val="28"/>
        </w:rPr>
      </w:pPr>
      <w:r>
        <w:rPr>
          <w:rFonts w:hint="eastAsia"/>
          <w:szCs w:val="28"/>
        </w:rPr>
        <w:t>3、垃圾转运站</w:t>
      </w:r>
    </w:p>
    <w:p w14:paraId="651DBC48">
      <w:pPr>
        <w:pStyle w:val="17"/>
        <w:spacing w:line="580" w:lineRule="exact"/>
        <w:ind w:firstLine="560" w:firstLineChars="200"/>
        <w:textAlignment w:val="baseline"/>
        <w:rPr>
          <w:szCs w:val="28"/>
        </w:rPr>
      </w:pPr>
      <w:r>
        <w:rPr>
          <w:rFonts w:hint="eastAsia"/>
          <w:szCs w:val="28"/>
        </w:rPr>
        <w:t>①小型垃圾转运站</w:t>
      </w:r>
    </w:p>
    <w:p w14:paraId="2D66E054">
      <w:pPr>
        <w:pStyle w:val="17"/>
        <w:spacing w:line="580" w:lineRule="exact"/>
        <w:ind w:firstLine="560" w:firstLineChars="200"/>
        <w:textAlignment w:val="baseline"/>
        <w:rPr>
          <w:szCs w:val="28"/>
        </w:rPr>
      </w:pPr>
      <w:r>
        <w:rPr>
          <w:rFonts w:hint="eastAsia"/>
          <w:szCs w:val="28"/>
        </w:rPr>
        <w:t>生活垃圾转运量计算方法:</w:t>
      </w:r>
    </w:p>
    <w:p w14:paraId="2710B9CD">
      <w:pPr>
        <w:pStyle w:val="17"/>
        <w:spacing w:line="580" w:lineRule="exact"/>
        <w:ind w:firstLine="560" w:firstLineChars="200"/>
        <w:textAlignment w:val="baseline"/>
        <w:rPr>
          <w:szCs w:val="28"/>
        </w:rPr>
      </w:pPr>
      <w:r>
        <w:rPr>
          <w:rFonts w:hint="eastAsia"/>
          <w:szCs w:val="28"/>
        </w:rPr>
        <w:t>Q=δnq /1000</w:t>
      </w:r>
    </w:p>
    <w:p w14:paraId="52490723">
      <w:pPr>
        <w:pStyle w:val="17"/>
        <w:spacing w:line="580" w:lineRule="exact"/>
        <w:ind w:firstLine="560" w:firstLineChars="200"/>
        <w:textAlignment w:val="baseline"/>
        <w:rPr>
          <w:szCs w:val="28"/>
        </w:rPr>
      </w:pPr>
      <w:r>
        <w:rPr>
          <w:rFonts w:hint="eastAsia"/>
          <w:szCs w:val="28"/>
        </w:rPr>
        <w:t>式中：</w:t>
      </w:r>
    </w:p>
    <w:p w14:paraId="7AABA706">
      <w:pPr>
        <w:pStyle w:val="17"/>
        <w:spacing w:line="580" w:lineRule="exact"/>
        <w:ind w:firstLine="560" w:firstLineChars="200"/>
        <w:textAlignment w:val="baseline"/>
        <w:rPr>
          <w:szCs w:val="28"/>
        </w:rPr>
      </w:pPr>
      <w:r>
        <w:rPr>
          <w:rFonts w:hint="eastAsia"/>
          <w:szCs w:val="28"/>
        </w:rPr>
        <w:t>Q—转运站生活垃圾的日转运量(t/d)；</w:t>
      </w:r>
    </w:p>
    <w:p w14:paraId="04F1F394">
      <w:pPr>
        <w:pStyle w:val="17"/>
        <w:spacing w:line="580" w:lineRule="exact"/>
        <w:ind w:firstLine="560" w:firstLineChars="200"/>
        <w:textAlignment w:val="baseline"/>
        <w:rPr>
          <w:szCs w:val="28"/>
        </w:rPr>
      </w:pPr>
      <w:r>
        <w:rPr>
          <w:rFonts w:hint="eastAsia"/>
          <w:szCs w:val="28"/>
        </w:rPr>
        <w:t>n—服务区域内居住人口数;</w:t>
      </w:r>
    </w:p>
    <w:p w14:paraId="5D40F419">
      <w:pPr>
        <w:pStyle w:val="17"/>
        <w:spacing w:line="580" w:lineRule="exact"/>
        <w:ind w:firstLine="560" w:firstLineChars="200"/>
        <w:textAlignment w:val="baseline"/>
        <w:rPr>
          <w:szCs w:val="28"/>
        </w:rPr>
      </w:pPr>
      <w:r>
        <w:rPr>
          <w:rFonts w:hint="eastAsia"/>
          <w:szCs w:val="28"/>
        </w:rPr>
        <w:t>q—服务区域 内生活垃圾人均日产量(kg/人·d) ;</w:t>
      </w:r>
    </w:p>
    <w:p w14:paraId="2E977B69">
      <w:pPr>
        <w:pStyle w:val="17"/>
        <w:spacing w:line="580" w:lineRule="exact"/>
        <w:ind w:firstLine="560" w:firstLineChars="200"/>
        <w:textAlignment w:val="baseline"/>
        <w:rPr>
          <w:szCs w:val="28"/>
        </w:rPr>
      </w:pPr>
      <w:r>
        <w:rPr>
          <w:rFonts w:hint="eastAsia"/>
          <w:szCs w:val="28"/>
        </w:rPr>
        <w:t>δ—生活垃圾产量变化系数按当地实际资料采用，若无资料时，一般可采用1.3～1.4。</w:t>
      </w:r>
    </w:p>
    <w:p w14:paraId="2549331E">
      <w:pPr>
        <w:pStyle w:val="17"/>
        <w:spacing w:line="580" w:lineRule="exact"/>
        <w:ind w:firstLine="560" w:firstLineChars="200"/>
        <w:textAlignment w:val="baseline"/>
        <w:rPr>
          <w:szCs w:val="28"/>
        </w:rPr>
      </w:pPr>
      <w:r>
        <w:rPr>
          <w:rFonts w:hint="eastAsia"/>
          <w:szCs w:val="28"/>
        </w:rPr>
        <w:t>本次在规划区内共设置小型垃圾转运站1</w:t>
      </w:r>
      <w:r>
        <w:rPr>
          <w:szCs w:val="28"/>
        </w:rPr>
        <w:t>0</w:t>
      </w:r>
      <w:r>
        <w:rPr>
          <w:rFonts w:hint="eastAsia"/>
          <w:szCs w:val="28"/>
        </w:rPr>
        <w:t>座。小型垃圾转运按照每座服务面积约0.7-1.0km</w:t>
      </w:r>
      <w:r>
        <w:rPr>
          <w:rFonts w:hint="eastAsia"/>
          <w:szCs w:val="28"/>
          <w:vertAlign w:val="superscript"/>
        </w:rPr>
        <w:t>2</w:t>
      </w:r>
      <w:r>
        <w:rPr>
          <w:rFonts w:hint="eastAsia"/>
          <w:szCs w:val="28"/>
        </w:rPr>
        <w:t>的平均密度布置。</w:t>
      </w:r>
    </w:p>
    <w:p w14:paraId="6073F73B">
      <w:pPr>
        <w:pStyle w:val="17"/>
        <w:spacing w:line="580" w:lineRule="exact"/>
        <w:ind w:firstLine="560" w:firstLineChars="200"/>
        <w:textAlignment w:val="baseline"/>
        <w:rPr>
          <w:szCs w:val="28"/>
        </w:rPr>
      </w:pPr>
      <w:r>
        <w:rPr>
          <w:rFonts w:hint="eastAsia"/>
          <w:szCs w:val="28"/>
        </w:rPr>
        <w:t>小型转运站与公厕、环卫工人休息站按三位一体形式设置。用地面积不小于100m2，与周围建筑物的间隔不小于5.0m。同时还应外型美观，与周围建筑物、环境相协调，进行立体绿化。</w:t>
      </w:r>
    </w:p>
    <w:p w14:paraId="61F027B9">
      <w:pPr>
        <w:pStyle w:val="17"/>
        <w:spacing w:line="580" w:lineRule="exact"/>
        <w:ind w:firstLine="560" w:firstLineChars="200"/>
        <w:textAlignment w:val="baseline"/>
        <w:rPr>
          <w:szCs w:val="28"/>
        </w:rPr>
      </w:pPr>
      <w:r>
        <w:rPr>
          <w:rFonts w:hint="eastAsia"/>
          <w:szCs w:val="28"/>
        </w:rPr>
        <w:t>②大、中型垃圾转运站</w:t>
      </w:r>
    </w:p>
    <w:p w14:paraId="00292C91">
      <w:pPr>
        <w:pStyle w:val="17"/>
        <w:spacing w:line="580" w:lineRule="exact"/>
        <w:ind w:firstLine="560" w:firstLineChars="200"/>
        <w:textAlignment w:val="baseline"/>
        <w:rPr>
          <w:szCs w:val="28"/>
        </w:rPr>
      </w:pPr>
      <w:r>
        <w:rPr>
          <w:rFonts w:hint="eastAsia"/>
          <w:szCs w:val="28"/>
        </w:rPr>
        <w:t>规划在陵川县城设置中型转运站1座。</w:t>
      </w:r>
    </w:p>
    <w:p w14:paraId="7BB7E14C">
      <w:pPr>
        <w:pStyle w:val="17"/>
        <w:spacing w:line="580" w:lineRule="exact"/>
        <w:ind w:firstLine="560" w:firstLineChars="200"/>
        <w:textAlignment w:val="baseline"/>
        <w:rPr>
          <w:szCs w:val="28"/>
        </w:rPr>
      </w:pPr>
      <w:r>
        <w:rPr>
          <w:rFonts w:hint="eastAsia"/>
          <w:szCs w:val="28"/>
        </w:rPr>
        <w:t>4、公共厕所规划</w:t>
      </w:r>
    </w:p>
    <w:p w14:paraId="2540BD38">
      <w:pPr>
        <w:pStyle w:val="17"/>
        <w:spacing w:line="580" w:lineRule="exact"/>
        <w:ind w:firstLine="560" w:firstLineChars="200"/>
        <w:textAlignment w:val="baseline"/>
        <w:rPr>
          <w:szCs w:val="28"/>
        </w:rPr>
      </w:pPr>
      <w:r>
        <w:rPr>
          <w:rFonts w:hint="eastAsia"/>
          <w:szCs w:val="28"/>
        </w:rPr>
        <w:t>规划公厕按每平方公里建设用地设置3-5座，商业性街道公厕设置间距为300-500m，一般街道按750-1000m设置。公厕应尽量结合垃圾转运站一并设置。</w:t>
      </w:r>
    </w:p>
    <w:p w14:paraId="52800BE0">
      <w:pPr>
        <w:pStyle w:val="17"/>
        <w:spacing w:line="580" w:lineRule="exact"/>
        <w:ind w:firstLine="560" w:firstLineChars="200"/>
        <w:textAlignment w:val="baseline"/>
        <w:rPr>
          <w:szCs w:val="28"/>
        </w:rPr>
      </w:pPr>
      <w:r>
        <w:rPr>
          <w:rFonts w:hint="eastAsia"/>
          <w:szCs w:val="28"/>
        </w:rPr>
        <w:t>公厕建筑标准：商业区、重要公共设施、重要交通客运设施、公共绿地及其他环境要求高的区域的公厕不低于一类标准；主、次干路及行人交通量较大的道路沿线的公厕不低于二类标准；其他街道及区域的公共厕所不低于三类标准。</w:t>
      </w:r>
    </w:p>
    <w:p w14:paraId="3A692E64">
      <w:pPr>
        <w:pStyle w:val="17"/>
        <w:spacing w:line="580" w:lineRule="exact"/>
        <w:ind w:firstLine="560" w:firstLineChars="200"/>
        <w:textAlignment w:val="baseline"/>
        <w:rPr>
          <w:szCs w:val="28"/>
        </w:rPr>
      </w:pPr>
      <w:bookmarkStart w:id="91" w:name="_Toc243101045"/>
      <w:r>
        <w:rPr>
          <w:rFonts w:hint="eastAsia"/>
          <w:szCs w:val="28"/>
        </w:rPr>
        <w:t>(四)街道保洁</w:t>
      </w:r>
    </w:p>
    <w:p w14:paraId="42806E42">
      <w:pPr>
        <w:pStyle w:val="17"/>
        <w:spacing w:line="580" w:lineRule="exact"/>
        <w:ind w:firstLine="560" w:firstLineChars="200"/>
        <w:textAlignment w:val="baseline"/>
        <w:rPr>
          <w:szCs w:val="28"/>
        </w:rPr>
      </w:pPr>
      <w:r>
        <w:rPr>
          <w:rFonts w:hint="eastAsia"/>
          <w:szCs w:val="28"/>
        </w:rPr>
        <w:t>环卫作业任务包括道路清扫及公共场所清扫等内容。</w:t>
      </w:r>
    </w:p>
    <w:p w14:paraId="6347ABC6">
      <w:pPr>
        <w:pStyle w:val="17"/>
        <w:spacing w:line="580" w:lineRule="exact"/>
        <w:ind w:firstLine="560" w:firstLineChars="200"/>
        <w:textAlignment w:val="baseline"/>
        <w:rPr>
          <w:szCs w:val="28"/>
        </w:rPr>
      </w:pPr>
      <w:r>
        <w:rPr>
          <w:rFonts w:hint="eastAsia"/>
          <w:szCs w:val="28"/>
        </w:rPr>
        <w:t>1、依据《城市环境卫生质量标准》，将陵川县城道路划分为二个保洁等级。规划陵川县城道路按二级保洁为主，一级保洁为辅。</w:t>
      </w:r>
    </w:p>
    <w:p w14:paraId="57A24D42">
      <w:pPr>
        <w:pStyle w:val="17"/>
        <w:spacing w:line="580" w:lineRule="exact"/>
        <w:ind w:firstLine="560" w:firstLineChars="200"/>
        <w:textAlignment w:val="baseline"/>
        <w:rPr>
          <w:szCs w:val="28"/>
        </w:rPr>
      </w:pPr>
      <w:r>
        <w:rPr>
          <w:rFonts w:hint="eastAsia"/>
          <w:szCs w:val="28"/>
        </w:rPr>
        <w:t>道路保洁质量应满足以下要求：</w:t>
      </w:r>
    </w:p>
    <w:p w14:paraId="11116DE9">
      <w:pPr>
        <w:pStyle w:val="17"/>
        <w:spacing w:line="580" w:lineRule="exact"/>
        <w:ind w:firstLine="560" w:firstLineChars="200"/>
        <w:textAlignment w:val="baseline"/>
        <w:rPr>
          <w:szCs w:val="28"/>
        </w:rPr>
      </w:pPr>
      <w:r>
        <w:rPr>
          <w:rFonts w:hint="eastAsia"/>
          <w:szCs w:val="28"/>
        </w:rPr>
        <w:t>①一级道路应全天巡回保洁，路面应见本色。</w:t>
      </w:r>
    </w:p>
    <w:p w14:paraId="144BC775">
      <w:pPr>
        <w:pStyle w:val="17"/>
        <w:spacing w:line="580" w:lineRule="exact"/>
        <w:ind w:firstLine="560" w:firstLineChars="200"/>
        <w:textAlignment w:val="baseline"/>
        <w:rPr>
          <w:szCs w:val="28"/>
        </w:rPr>
      </w:pPr>
      <w:r>
        <w:rPr>
          <w:rFonts w:hint="eastAsia"/>
          <w:szCs w:val="28"/>
        </w:rPr>
        <w:t>②二级道路应巡回保洁，路面基本见本色。</w:t>
      </w:r>
    </w:p>
    <w:p w14:paraId="1CC04EEA">
      <w:pPr>
        <w:pStyle w:val="17"/>
        <w:spacing w:line="580" w:lineRule="exact"/>
        <w:ind w:firstLine="560" w:firstLineChars="200"/>
        <w:textAlignment w:val="baseline"/>
        <w:rPr>
          <w:szCs w:val="28"/>
        </w:rPr>
      </w:pPr>
      <w:r>
        <w:rPr>
          <w:rFonts w:hint="eastAsia"/>
          <w:szCs w:val="28"/>
        </w:rPr>
        <w:t>2、主要文化、娱乐、游览区、大型比赛场地、主要交通集散地、大型购物、展销商场，应按一级道路保洁标准保洁；一般性的娱乐、游览、比赛、交通集散场地等，以及市内的菜场、农贸集市的清扫、保洁，不得低于二级道路保洁标准；露天菜场和农贸集市周围的清扫和保洁，不得低于三级保洁标准；广场、停车场、火车站前广场等地面应干净，无明显灰沙和污物，无人畜粪便；夏秋季节，应定时洒水降温，除尘。</w:t>
      </w:r>
    </w:p>
    <w:p w14:paraId="10C2852E">
      <w:pPr>
        <w:pStyle w:val="17"/>
        <w:spacing w:line="580" w:lineRule="exact"/>
        <w:ind w:firstLine="560" w:firstLineChars="200"/>
        <w:textAlignment w:val="baseline"/>
        <w:rPr>
          <w:szCs w:val="28"/>
        </w:rPr>
      </w:pPr>
      <w:r>
        <w:rPr>
          <w:rFonts w:hint="eastAsia"/>
          <w:szCs w:val="28"/>
        </w:rPr>
        <w:t>(五)城市市容</w:t>
      </w:r>
      <w:bookmarkEnd w:id="91"/>
    </w:p>
    <w:p w14:paraId="54FD1330">
      <w:pPr>
        <w:pStyle w:val="17"/>
        <w:spacing w:line="580" w:lineRule="exact"/>
        <w:ind w:firstLine="560" w:firstLineChars="200"/>
        <w:textAlignment w:val="baseline"/>
        <w:rPr>
          <w:szCs w:val="28"/>
        </w:rPr>
      </w:pPr>
      <w:r>
        <w:rPr>
          <w:rFonts w:hint="eastAsia"/>
          <w:szCs w:val="28"/>
        </w:rPr>
        <w:t>加强市容管理，凡占据城市空间，影响城市景观的广告、沿街的门面装饰、各种灯箱、霓虹灯、大屏幕显示系统、城市标志、城市雕塑等，纳入统一的城市规划管理。丰富城市色彩和夜景，创造优美的街景与城市风貌。</w:t>
      </w:r>
    </w:p>
    <w:p w14:paraId="405C0735">
      <w:pPr>
        <w:pStyle w:val="38"/>
        <w:numPr>
          <w:ilvl w:val="0"/>
          <w:numId w:val="10"/>
        </w:numPr>
        <w:spacing w:before="0" w:beforeLines="0" w:after="0" w:afterLines="0" w:line="580" w:lineRule="exact"/>
        <w:rPr>
          <w:rFonts w:ascii="黑体" w:hAnsi="黑体"/>
          <w:b/>
        </w:rPr>
      </w:pPr>
      <w:bookmarkStart w:id="92" w:name="_Toc528317054"/>
      <w:bookmarkStart w:id="93" w:name="_Toc402516201"/>
      <w:r>
        <w:rPr>
          <w:rFonts w:hint="eastAsia" w:ascii="黑体" w:hAnsi="黑体"/>
          <w:b/>
        </w:rPr>
        <w:t>环境保护规划</w:t>
      </w:r>
      <w:bookmarkEnd w:id="92"/>
      <w:bookmarkEnd w:id="93"/>
    </w:p>
    <w:p w14:paraId="6E17B73C">
      <w:pPr>
        <w:pStyle w:val="17"/>
        <w:spacing w:line="580" w:lineRule="exact"/>
        <w:ind w:firstLine="560" w:firstLineChars="200"/>
        <w:textAlignment w:val="baseline"/>
        <w:rPr>
          <w:szCs w:val="28"/>
        </w:rPr>
      </w:pPr>
      <w:bookmarkStart w:id="94" w:name="_Toc243101047"/>
      <w:bookmarkStart w:id="95" w:name="_Toc229456641"/>
      <w:bookmarkStart w:id="96" w:name="_Toc229456084"/>
      <w:r>
        <w:rPr>
          <w:rFonts w:hint="eastAsia"/>
          <w:szCs w:val="28"/>
        </w:rPr>
        <w:t>(一)环境目标规划</w:t>
      </w:r>
      <w:bookmarkEnd w:id="94"/>
      <w:bookmarkEnd w:id="95"/>
      <w:bookmarkEnd w:id="96"/>
    </w:p>
    <w:p w14:paraId="372D0980">
      <w:pPr>
        <w:pStyle w:val="17"/>
        <w:spacing w:line="580" w:lineRule="exact"/>
        <w:ind w:firstLine="560" w:firstLineChars="200"/>
        <w:textAlignment w:val="baseline"/>
        <w:rPr>
          <w:szCs w:val="28"/>
        </w:rPr>
      </w:pPr>
      <w:r>
        <w:rPr>
          <w:rFonts w:hint="eastAsia"/>
          <w:szCs w:val="28"/>
        </w:rPr>
        <w:t>1、空气环境目标</w:t>
      </w:r>
    </w:p>
    <w:p w14:paraId="3A039307">
      <w:pPr>
        <w:pStyle w:val="17"/>
        <w:spacing w:line="580" w:lineRule="exact"/>
        <w:ind w:firstLine="560" w:firstLineChars="200"/>
        <w:textAlignment w:val="baseline"/>
        <w:rPr>
          <w:szCs w:val="28"/>
        </w:rPr>
      </w:pPr>
      <w:r>
        <w:rPr>
          <w:rFonts w:hint="eastAsia"/>
          <w:szCs w:val="28"/>
        </w:rPr>
        <w:t>规划期内陵川县城空气质量达到《环境空气质量标准》（GB3095—1996）Ⅱ级以上标准。</w:t>
      </w:r>
    </w:p>
    <w:p w14:paraId="27DDD632">
      <w:pPr>
        <w:pStyle w:val="17"/>
        <w:spacing w:line="580" w:lineRule="exact"/>
        <w:ind w:firstLine="560" w:firstLineChars="200"/>
        <w:textAlignment w:val="baseline"/>
        <w:rPr>
          <w:szCs w:val="28"/>
        </w:rPr>
      </w:pPr>
      <w:r>
        <w:rPr>
          <w:rFonts w:hint="eastAsia"/>
          <w:szCs w:val="28"/>
        </w:rPr>
        <w:t>2、水环境目标</w:t>
      </w:r>
    </w:p>
    <w:p w14:paraId="3AC1E85F">
      <w:pPr>
        <w:pStyle w:val="17"/>
        <w:spacing w:line="580" w:lineRule="exact"/>
        <w:ind w:firstLine="560" w:firstLineChars="200"/>
        <w:textAlignment w:val="baseline"/>
        <w:rPr>
          <w:szCs w:val="28"/>
        </w:rPr>
      </w:pPr>
      <w:r>
        <w:rPr>
          <w:rFonts w:hint="eastAsia"/>
          <w:szCs w:val="28"/>
        </w:rPr>
        <w:t>规划期末，羊河、红河水质达到《地表水环境质量标准》（GB3838—2002）Ⅳ类标准。</w:t>
      </w:r>
    </w:p>
    <w:p w14:paraId="2757BCBC">
      <w:pPr>
        <w:pStyle w:val="17"/>
        <w:spacing w:line="580" w:lineRule="exact"/>
        <w:ind w:firstLine="560" w:firstLineChars="200"/>
        <w:textAlignment w:val="baseline"/>
        <w:rPr>
          <w:szCs w:val="28"/>
        </w:rPr>
      </w:pPr>
      <w:r>
        <w:rPr>
          <w:rFonts w:hint="eastAsia"/>
          <w:szCs w:val="28"/>
        </w:rPr>
        <w:t>3、声环境目标</w:t>
      </w:r>
    </w:p>
    <w:p w14:paraId="231F0F30">
      <w:pPr>
        <w:pStyle w:val="17"/>
        <w:spacing w:line="580" w:lineRule="exact"/>
        <w:ind w:firstLine="560" w:firstLineChars="200"/>
        <w:textAlignment w:val="baseline"/>
        <w:rPr>
          <w:szCs w:val="28"/>
        </w:rPr>
      </w:pPr>
      <w:r>
        <w:rPr>
          <w:rFonts w:hint="eastAsia"/>
          <w:szCs w:val="28"/>
        </w:rPr>
        <w:t>城市各功能区均严格执行《声环境质量标准》（GB3096—2008）的有关规定，详见下表。</w:t>
      </w:r>
    </w:p>
    <w:p w14:paraId="79042594">
      <w:pPr>
        <w:spacing w:line="580" w:lineRule="exact"/>
        <w:jc w:val="center"/>
        <w:rPr>
          <w:rFonts w:ascii="宋体" w:hAnsi="宋体"/>
          <w:b/>
          <w:sz w:val="28"/>
          <w:szCs w:val="28"/>
        </w:rPr>
      </w:pPr>
      <w:r>
        <w:rPr>
          <w:rFonts w:hint="eastAsia" w:ascii="宋体" w:hAnsi="宋体"/>
          <w:b/>
          <w:sz w:val="28"/>
          <w:szCs w:val="28"/>
        </w:rPr>
        <w:t>表17  城市环境噪声标准等效声级LAeq（dB）</w:t>
      </w:r>
    </w:p>
    <w:tbl>
      <w:tblPr>
        <w:tblStyle w:val="21"/>
        <w:tblW w:w="856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96"/>
        <w:gridCol w:w="1417"/>
        <w:gridCol w:w="2782"/>
        <w:gridCol w:w="1365"/>
        <w:gridCol w:w="2100"/>
      </w:tblGrid>
      <w:tr w14:paraId="272097C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896" w:type="dxa"/>
            <w:vAlign w:val="bottom"/>
          </w:tcPr>
          <w:p w14:paraId="1842157D">
            <w:pPr>
              <w:pStyle w:val="48"/>
            </w:pPr>
            <w:r>
              <w:rPr>
                <w:rFonts w:hint="eastAsia"/>
              </w:rPr>
              <w:t>功能区</w:t>
            </w:r>
          </w:p>
        </w:tc>
        <w:tc>
          <w:tcPr>
            <w:tcW w:w="1417" w:type="dxa"/>
            <w:vAlign w:val="bottom"/>
          </w:tcPr>
          <w:p w14:paraId="3E6D6FC9">
            <w:pPr>
              <w:pStyle w:val="48"/>
            </w:pPr>
            <w:r>
              <w:rPr>
                <w:rFonts w:hint="eastAsia"/>
              </w:rPr>
              <w:t>居民文教区</w:t>
            </w:r>
          </w:p>
          <w:p w14:paraId="7069EC60">
            <w:pPr>
              <w:pStyle w:val="48"/>
            </w:pPr>
            <w:r>
              <w:rPr>
                <w:rFonts w:hint="eastAsia"/>
              </w:rPr>
              <w:t>（一类）</w:t>
            </w:r>
          </w:p>
        </w:tc>
        <w:tc>
          <w:tcPr>
            <w:tcW w:w="2782" w:type="dxa"/>
            <w:vAlign w:val="bottom"/>
          </w:tcPr>
          <w:p w14:paraId="47B3BD21">
            <w:pPr>
              <w:pStyle w:val="48"/>
            </w:pPr>
            <w:r>
              <w:rPr>
                <w:rFonts w:hint="eastAsia"/>
              </w:rPr>
              <w:t>居住、商业、工业混杂区</w:t>
            </w:r>
          </w:p>
          <w:p w14:paraId="4A7F7CF7">
            <w:pPr>
              <w:pStyle w:val="48"/>
            </w:pPr>
            <w:r>
              <w:rPr>
                <w:rFonts w:hint="eastAsia"/>
              </w:rPr>
              <w:t>（二类）</w:t>
            </w:r>
          </w:p>
        </w:tc>
        <w:tc>
          <w:tcPr>
            <w:tcW w:w="1365" w:type="dxa"/>
            <w:vAlign w:val="bottom"/>
          </w:tcPr>
          <w:p w14:paraId="27CBAB3C">
            <w:pPr>
              <w:pStyle w:val="48"/>
            </w:pPr>
            <w:r>
              <w:rPr>
                <w:rFonts w:hint="eastAsia"/>
              </w:rPr>
              <w:t>工业区</w:t>
            </w:r>
          </w:p>
          <w:p w14:paraId="254672E1">
            <w:pPr>
              <w:pStyle w:val="48"/>
            </w:pPr>
            <w:r>
              <w:rPr>
                <w:rFonts w:hint="eastAsia"/>
              </w:rPr>
              <w:t>（三类）</w:t>
            </w:r>
          </w:p>
        </w:tc>
        <w:tc>
          <w:tcPr>
            <w:tcW w:w="2100" w:type="dxa"/>
            <w:vAlign w:val="bottom"/>
          </w:tcPr>
          <w:p w14:paraId="30B6709F">
            <w:pPr>
              <w:pStyle w:val="48"/>
            </w:pPr>
            <w:r>
              <w:rPr>
                <w:rFonts w:hint="eastAsia"/>
              </w:rPr>
              <w:t>交通干线两侧</w:t>
            </w:r>
          </w:p>
          <w:p w14:paraId="60148E3E">
            <w:pPr>
              <w:pStyle w:val="48"/>
            </w:pPr>
            <w:r>
              <w:rPr>
                <w:rFonts w:hint="eastAsia"/>
              </w:rPr>
              <w:t>（四类）</w:t>
            </w:r>
          </w:p>
        </w:tc>
      </w:tr>
      <w:tr w14:paraId="2328460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896" w:type="dxa"/>
            <w:vAlign w:val="bottom"/>
          </w:tcPr>
          <w:p w14:paraId="47485BD1">
            <w:pPr>
              <w:pStyle w:val="48"/>
            </w:pPr>
            <w:r>
              <w:rPr>
                <w:rFonts w:hint="eastAsia"/>
              </w:rPr>
              <w:t>昼</w:t>
            </w:r>
          </w:p>
        </w:tc>
        <w:tc>
          <w:tcPr>
            <w:tcW w:w="1417" w:type="dxa"/>
            <w:vAlign w:val="bottom"/>
          </w:tcPr>
          <w:p w14:paraId="46003E8E">
            <w:pPr>
              <w:pStyle w:val="48"/>
            </w:pPr>
            <w:r>
              <w:rPr>
                <w:rFonts w:hint="eastAsia"/>
              </w:rPr>
              <w:t>55</w:t>
            </w:r>
          </w:p>
        </w:tc>
        <w:tc>
          <w:tcPr>
            <w:tcW w:w="2782" w:type="dxa"/>
            <w:vAlign w:val="bottom"/>
          </w:tcPr>
          <w:p w14:paraId="5BC37EF5">
            <w:pPr>
              <w:pStyle w:val="48"/>
            </w:pPr>
            <w:r>
              <w:rPr>
                <w:rFonts w:hint="eastAsia"/>
              </w:rPr>
              <w:t>60</w:t>
            </w:r>
          </w:p>
        </w:tc>
        <w:tc>
          <w:tcPr>
            <w:tcW w:w="1365" w:type="dxa"/>
            <w:vAlign w:val="bottom"/>
          </w:tcPr>
          <w:p w14:paraId="48E150C2">
            <w:pPr>
              <w:pStyle w:val="48"/>
            </w:pPr>
            <w:r>
              <w:rPr>
                <w:rFonts w:hint="eastAsia"/>
              </w:rPr>
              <w:t>65</w:t>
            </w:r>
          </w:p>
        </w:tc>
        <w:tc>
          <w:tcPr>
            <w:tcW w:w="2100" w:type="dxa"/>
            <w:vAlign w:val="bottom"/>
          </w:tcPr>
          <w:p w14:paraId="1BDE353A">
            <w:pPr>
              <w:pStyle w:val="48"/>
            </w:pPr>
            <w:r>
              <w:rPr>
                <w:rFonts w:hint="eastAsia"/>
              </w:rPr>
              <w:t>70</w:t>
            </w:r>
          </w:p>
        </w:tc>
      </w:tr>
      <w:tr w14:paraId="6FA7D5A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896" w:type="dxa"/>
            <w:vAlign w:val="bottom"/>
          </w:tcPr>
          <w:p w14:paraId="38715FBC">
            <w:pPr>
              <w:pStyle w:val="48"/>
            </w:pPr>
            <w:r>
              <w:rPr>
                <w:rFonts w:hint="eastAsia"/>
              </w:rPr>
              <w:t>夜</w:t>
            </w:r>
          </w:p>
        </w:tc>
        <w:tc>
          <w:tcPr>
            <w:tcW w:w="1417" w:type="dxa"/>
            <w:vAlign w:val="bottom"/>
          </w:tcPr>
          <w:p w14:paraId="554235DE">
            <w:pPr>
              <w:pStyle w:val="48"/>
            </w:pPr>
            <w:r>
              <w:rPr>
                <w:rFonts w:hint="eastAsia"/>
              </w:rPr>
              <w:t>45</w:t>
            </w:r>
          </w:p>
        </w:tc>
        <w:tc>
          <w:tcPr>
            <w:tcW w:w="2782" w:type="dxa"/>
            <w:vAlign w:val="bottom"/>
          </w:tcPr>
          <w:p w14:paraId="57441041">
            <w:pPr>
              <w:pStyle w:val="48"/>
            </w:pPr>
            <w:r>
              <w:rPr>
                <w:rFonts w:hint="eastAsia"/>
              </w:rPr>
              <w:t>50</w:t>
            </w:r>
          </w:p>
        </w:tc>
        <w:tc>
          <w:tcPr>
            <w:tcW w:w="1365" w:type="dxa"/>
            <w:vAlign w:val="bottom"/>
          </w:tcPr>
          <w:p w14:paraId="38BD991E">
            <w:pPr>
              <w:pStyle w:val="48"/>
            </w:pPr>
            <w:r>
              <w:rPr>
                <w:rFonts w:hint="eastAsia"/>
              </w:rPr>
              <w:t>55</w:t>
            </w:r>
          </w:p>
        </w:tc>
        <w:tc>
          <w:tcPr>
            <w:tcW w:w="2100" w:type="dxa"/>
            <w:vAlign w:val="bottom"/>
          </w:tcPr>
          <w:p w14:paraId="1FE6C7A1">
            <w:pPr>
              <w:pStyle w:val="48"/>
            </w:pPr>
            <w:r>
              <w:rPr>
                <w:rFonts w:hint="eastAsia"/>
              </w:rPr>
              <w:t>55</w:t>
            </w:r>
          </w:p>
        </w:tc>
      </w:tr>
    </w:tbl>
    <w:p w14:paraId="14874E5C">
      <w:pPr>
        <w:pStyle w:val="17"/>
        <w:spacing w:line="580" w:lineRule="exact"/>
        <w:ind w:firstLine="560" w:firstLineChars="200"/>
        <w:textAlignment w:val="baseline"/>
        <w:rPr>
          <w:szCs w:val="28"/>
        </w:rPr>
      </w:pPr>
      <w:r>
        <w:rPr>
          <w:rFonts w:hint="eastAsia"/>
          <w:szCs w:val="28"/>
        </w:rPr>
        <w:t>4、生活垃圾排放控制目标</w:t>
      </w:r>
    </w:p>
    <w:p w14:paraId="52495A56">
      <w:pPr>
        <w:pStyle w:val="17"/>
        <w:spacing w:line="580" w:lineRule="exact"/>
        <w:ind w:firstLine="560" w:firstLineChars="200"/>
        <w:textAlignment w:val="baseline"/>
        <w:rPr>
          <w:szCs w:val="28"/>
        </w:rPr>
      </w:pPr>
      <w:r>
        <w:rPr>
          <w:rFonts w:hint="eastAsia"/>
          <w:szCs w:val="28"/>
        </w:rPr>
        <w:t xml:space="preserve">生活垃圾无害化处理率达到100%。 </w:t>
      </w:r>
    </w:p>
    <w:p w14:paraId="76AAA711">
      <w:pPr>
        <w:pStyle w:val="17"/>
        <w:spacing w:line="580" w:lineRule="exact"/>
        <w:ind w:firstLine="560" w:firstLineChars="200"/>
        <w:textAlignment w:val="baseline"/>
        <w:rPr>
          <w:szCs w:val="28"/>
        </w:rPr>
      </w:pPr>
      <w:bookmarkStart w:id="97" w:name="_Toc229456085"/>
      <w:bookmarkStart w:id="98" w:name="_Toc229456642"/>
      <w:bookmarkStart w:id="99" w:name="_Toc243101048"/>
      <w:r>
        <w:rPr>
          <w:rFonts w:hint="eastAsia"/>
          <w:szCs w:val="28"/>
        </w:rPr>
        <w:t>(二)空气环境规划</w:t>
      </w:r>
      <w:bookmarkEnd w:id="97"/>
      <w:bookmarkEnd w:id="98"/>
      <w:bookmarkEnd w:id="99"/>
    </w:p>
    <w:p w14:paraId="4F5024F3">
      <w:pPr>
        <w:pStyle w:val="17"/>
        <w:spacing w:line="580" w:lineRule="exact"/>
        <w:ind w:firstLine="560" w:firstLineChars="200"/>
        <w:textAlignment w:val="baseline"/>
        <w:rPr>
          <w:szCs w:val="28"/>
        </w:rPr>
      </w:pPr>
      <w:r>
        <w:rPr>
          <w:rFonts w:hint="eastAsia"/>
          <w:szCs w:val="28"/>
        </w:rPr>
        <w:t>坚持实施可持续发展战略，以生态环境理念为指导，紧密结合晋城市经济社会发展规划和空气环境目标的要求，逐步实行清洁生产，妥善处理近期与远期、局部与全局的关系，实现经济效益、社会效益和环境效益的统一。</w:t>
      </w:r>
    </w:p>
    <w:p w14:paraId="31C3DA23">
      <w:pPr>
        <w:pStyle w:val="17"/>
        <w:spacing w:line="580" w:lineRule="exact"/>
        <w:ind w:firstLine="560" w:firstLineChars="200"/>
        <w:textAlignment w:val="baseline"/>
        <w:rPr>
          <w:szCs w:val="28"/>
        </w:rPr>
      </w:pPr>
      <w:r>
        <w:rPr>
          <w:rFonts w:hint="eastAsia"/>
          <w:szCs w:val="28"/>
        </w:rPr>
        <w:t>1、加快煤层气输配系统的建设，大力发展城市集中供热、供气设施建设，有效的控制城市面源污染。</w:t>
      </w:r>
    </w:p>
    <w:p w14:paraId="6E191347">
      <w:pPr>
        <w:pStyle w:val="17"/>
        <w:spacing w:line="580" w:lineRule="exact"/>
        <w:ind w:firstLine="560" w:firstLineChars="200"/>
        <w:textAlignment w:val="baseline"/>
        <w:rPr>
          <w:szCs w:val="28"/>
        </w:rPr>
      </w:pPr>
      <w:r>
        <w:rPr>
          <w:rFonts w:hint="eastAsia"/>
          <w:szCs w:val="28"/>
        </w:rPr>
        <w:t>2、加强对燃煤锅炉除尘脱硫设施改造以及对分散小锅炉的关停、取缔。</w:t>
      </w:r>
    </w:p>
    <w:p w14:paraId="261DF3A7">
      <w:pPr>
        <w:pStyle w:val="17"/>
        <w:spacing w:line="580" w:lineRule="exact"/>
        <w:ind w:firstLine="560" w:firstLineChars="200"/>
        <w:textAlignment w:val="baseline"/>
        <w:rPr>
          <w:szCs w:val="28"/>
        </w:rPr>
      </w:pPr>
      <w:r>
        <w:rPr>
          <w:rFonts w:hint="eastAsia"/>
          <w:szCs w:val="28"/>
        </w:rPr>
        <w:t>3、加强交通扬尘抑制和汽车尾气治理。</w:t>
      </w:r>
    </w:p>
    <w:p w14:paraId="2C4F0B38">
      <w:pPr>
        <w:pStyle w:val="17"/>
        <w:spacing w:line="580" w:lineRule="exact"/>
        <w:ind w:firstLine="560" w:firstLineChars="200"/>
        <w:textAlignment w:val="baseline"/>
        <w:rPr>
          <w:szCs w:val="28"/>
        </w:rPr>
      </w:pPr>
      <w:r>
        <w:rPr>
          <w:rFonts w:hint="eastAsia"/>
          <w:szCs w:val="28"/>
        </w:rPr>
        <w:t>4、搞好城市生态建设和绿化工程。</w:t>
      </w:r>
    </w:p>
    <w:p w14:paraId="620A0808">
      <w:pPr>
        <w:pStyle w:val="17"/>
        <w:spacing w:line="580" w:lineRule="exact"/>
        <w:ind w:firstLine="560" w:firstLineChars="200"/>
        <w:textAlignment w:val="baseline"/>
        <w:rPr>
          <w:szCs w:val="28"/>
        </w:rPr>
      </w:pPr>
      <w:bookmarkStart w:id="100" w:name="_Toc229456643"/>
      <w:bookmarkStart w:id="101" w:name="_Toc243101049"/>
      <w:bookmarkStart w:id="102" w:name="_Toc229456086"/>
      <w:r>
        <w:rPr>
          <w:rFonts w:hint="eastAsia"/>
          <w:szCs w:val="28"/>
        </w:rPr>
        <w:t>(三)水污染治理与控制措施</w:t>
      </w:r>
      <w:bookmarkEnd w:id="100"/>
      <w:bookmarkEnd w:id="101"/>
      <w:bookmarkEnd w:id="102"/>
    </w:p>
    <w:p w14:paraId="37269C5F">
      <w:pPr>
        <w:pStyle w:val="17"/>
        <w:spacing w:line="580" w:lineRule="exact"/>
        <w:ind w:firstLine="560" w:firstLineChars="200"/>
        <w:textAlignment w:val="baseline"/>
        <w:rPr>
          <w:szCs w:val="28"/>
        </w:rPr>
      </w:pPr>
      <w:r>
        <w:rPr>
          <w:szCs w:val="28"/>
        </w:rPr>
        <w:t>规划期内，加强</w:t>
      </w:r>
      <w:r>
        <w:rPr>
          <w:rFonts w:hint="eastAsia"/>
          <w:szCs w:val="28"/>
        </w:rPr>
        <w:t>区域内部污水</w:t>
      </w:r>
      <w:r>
        <w:rPr>
          <w:szCs w:val="28"/>
        </w:rPr>
        <w:t>废水的集中收集。通过高标准城市雨、污水收集、排放、处理以及再生水系统的建设，实现城市雨、污水的资源化。</w:t>
      </w:r>
    </w:p>
    <w:p w14:paraId="7060B96C">
      <w:pPr>
        <w:pStyle w:val="17"/>
        <w:spacing w:line="580" w:lineRule="exact"/>
        <w:ind w:firstLine="560" w:firstLineChars="200"/>
        <w:textAlignment w:val="baseline"/>
        <w:rPr>
          <w:szCs w:val="28"/>
        </w:rPr>
      </w:pPr>
      <w:bookmarkStart w:id="103" w:name="_Toc243101050"/>
      <w:bookmarkStart w:id="104" w:name="_Toc229456087"/>
      <w:bookmarkStart w:id="105" w:name="_Toc229456644"/>
      <w:r>
        <w:rPr>
          <w:rFonts w:hint="eastAsia"/>
          <w:szCs w:val="28"/>
        </w:rPr>
        <w:t>(四)噪声污染控制</w:t>
      </w:r>
      <w:bookmarkEnd w:id="103"/>
      <w:bookmarkEnd w:id="104"/>
      <w:bookmarkEnd w:id="105"/>
    </w:p>
    <w:p w14:paraId="3339130A">
      <w:pPr>
        <w:pStyle w:val="17"/>
        <w:spacing w:line="580" w:lineRule="exact"/>
        <w:ind w:firstLine="560" w:firstLineChars="200"/>
        <w:textAlignment w:val="baseline"/>
        <w:rPr>
          <w:szCs w:val="28"/>
        </w:rPr>
      </w:pPr>
      <w:r>
        <w:rPr>
          <w:rFonts w:hint="eastAsia"/>
          <w:szCs w:val="28"/>
        </w:rPr>
        <w:t>明确城市环境功能分区，各类噪声源必须达标排放。严格控制和治理城市交通噪声，同时亦要加强固定声源和建筑施工噪声的管理控制。</w:t>
      </w:r>
    </w:p>
    <w:p w14:paraId="4AB37C72">
      <w:pPr>
        <w:pStyle w:val="17"/>
        <w:spacing w:line="580" w:lineRule="exact"/>
        <w:ind w:firstLine="560" w:firstLineChars="200"/>
        <w:textAlignment w:val="baseline"/>
        <w:rPr>
          <w:szCs w:val="28"/>
        </w:rPr>
      </w:pPr>
      <w:bookmarkStart w:id="106" w:name="_Toc229456645"/>
      <w:bookmarkStart w:id="107" w:name="_Toc243101051"/>
      <w:bookmarkStart w:id="108" w:name="_Toc229456088"/>
      <w:r>
        <w:rPr>
          <w:rFonts w:hint="eastAsia"/>
          <w:szCs w:val="28"/>
        </w:rPr>
        <w:t>(五)固废物污染防治</w:t>
      </w:r>
      <w:bookmarkEnd w:id="106"/>
      <w:bookmarkEnd w:id="107"/>
      <w:bookmarkEnd w:id="108"/>
    </w:p>
    <w:p w14:paraId="14946C63">
      <w:pPr>
        <w:pStyle w:val="17"/>
        <w:spacing w:line="580" w:lineRule="exact"/>
        <w:ind w:firstLine="560" w:firstLineChars="200"/>
        <w:textAlignment w:val="baseline"/>
        <w:rPr>
          <w:szCs w:val="28"/>
        </w:rPr>
      </w:pPr>
      <w:r>
        <w:rPr>
          <w:rFonts w:hint="eastAsia"/>
          <w:szCs w:val="28"/>
        </w:rPr>
        <w:t>加强城市基础设施建设，发展集中供热，提高燃气供应普及率，减少社会性固废物的产量。</w:t>
      </w:r>
    </w:p>
    <w:p w14:paraId="19CD55A8">
      <w:pPr>
        <w:pStyle w:val="17"/>
        <w:spacing w:line="580" w:lineRule="exact"/>
        <w:ind w:firstLine="560" w:firstLineChars="200"/>
        <w:textAlignment w:val="baseline"/>
        <w:rPr>
          <w:szCs w:val="28"/>
        </w:rPr>
      </w:pPr>
      <w:r>
        <w:rPr>
          <w:rFonts w:hint="eastAsia"/>
          <w:szCs w:val="28"/>
        </w:rPr>
        <w:t>规划期内要切实提高各类固废物的综合利用率，通过多种途径变废为宝。</w:t>
      </w:r>
    </w:p>
    <w:p w14:paraId="6D5E5F14">
      <w:pPr>
        <w:pStyle w:val="38"/>
        <w:numPr>
          <w:ilvl w:val="0"/>
          <w:numId w:val="10"/>
        </w:numPr>
        <w:spacing w:before="0" w:beforeLines="0" w:after="0" w:afterLines="0" w:line="580" w:lineRule="exact"/>
        <w:rPr>
          <w:rFonts w:ascii="黑体" w:hAnsi="黑体"/>
          <w:b/>
        </w:rPr>
      </w:pPr>
      <w:bookmarkStart w:id="109" w:name="_Toc528317055"/>
      <w:bookmarkStart w:id="110" w:name="_Toc402516202"/>
      <w:r>
        <w:rPr>
          <w:rFonts w:hint="eastAsia" w:ascii="黑体" w:hAnsi="黑体"/>
          <w:b/>
        </w:rPr>
        <w:t>综合防灾规划</w:t>
      </w:r>
      <w:bookmarkEnd w:id="109"/>
      <w:bookmarkEnd w:id="110"/>
    </w:p>
    <w:p w14:paraId="1B46E0F1">
      <w:pPr>
        <w:pStyle w:val="17"/>
        <w:spacing w:line="580" w:lineRule="exact"/>
        <w:ind w:firstLine="560" w:firstLineChars="200"/>
        <w:textAlignment w:val="baseline"/>
        <w:rPr>
          <w:szCs w:val="28"/>
        </w:rPr>
      </w:pPr>
      <w:bookmarkStart w:id="111" w:name="_Toc229456090"/>
      <w:bookmarkStart w:id="112" w:name="_Toc229456647"/>
      <w:bookmarkStart w:id="113" w:name="_Toc243101053"/>
      <w:r>
        <w:rPr>
          <w:rFonts w:hint="eastAsia"/>
          <w:szCs w:val="28"/>
        </w:rPr>
        <w:t>(一)防洪规划</w:t>
      </w:r>
      <w:bookmarkEnd w:id="111"/>
      <w:bookmarkEnd w:id="112"/>
      <w:bookmarkEnd w:id="113"/>
    </w:p>
    <w:p w14:paraId="7A478F71">
      <w:pPr>
        <w:pStyle w:val="17"/>
        <w:spacing w:line="580" w:lineRule="exact"/>
        <w:ind w:firstLine="560" w:firstLineChars="200"/>
        <w:textAlignment w:val="baseline"/>
        <w:rPr>
          <w:szCs w:val="28"/>
        </w:rPr>
      </w:pPr>
      <w:r>
        <w:rPr>
          <w:rFonts w:hint="eastAsia"/>
          <w:szCs w:val="28"/>
        </w:rPr>
        <w:t>1、河流</w:t>
      </w:r>
    </w:p>
    <w:p w14:paraId="0BEDEA7D">
      <w:pPr>
        <w:pStyle w:val="17"/>
        <w:spacing w:line="580" w:lineRule="exact"/>
        <w:ind w:firstLine="560" w:firstLineChars="200"/>
        <w:textAlignment w:val="baseline"/>
        <w:rPr>
          <w:szCs w:val="28"/>
        </w:rPr>
      </w:pPr>
      <w:r>
        <w:rPr>
          <w:rFonts w:hint="eastAsia"/>
          <w:szCs w:val="28"/>
        </w:rPr>
        <w:t>本次规划区内范围内河流主要为羊河、红河。</w:t>
      </w:r>
    </w:p>
    <w:p w14:paraId="69F5D6E4">
      <w:pPr>
        <w:pStyle w:val="17"/>
        <w:spacing w:line="580" w:lineRule="exact"/>
        <w:ind w:firstLine="560" w:firstLineChars="200"/>
        <w:textAlignment w:val="baseline"/>
        <w:rPr>
          <w:szCs w:val="28"/>
        </w:rPr>
      </w:pPr>
      <w:r>
        <w:rPr>
          <w:rFonts w:hint="eastAsia"/>
          <w:szCs w:val="28"/>
        </w:rPr>
        <w:t>2、防洪规划原则</w:t>
      </w:r>
    </w:p>
    <w:p w14:paraId="0903B574">
      <w:pPr>
        <w:pStyle w:val="17"/>
        <w:spacing w:line="580" w:lineRule="exact"/>
        <w:ind w:firstLine="560" w:firstLineChars="200"/>
        <w:textAlignment w:val="baseline"/>
        <w:rPr>
          <w:szCs w:val="28"/>
        </w:rPr>
      </w:pPr>
      <w:r>
        <w:rPr>
          <w:rFonts w:hint="eastAsia"/>
          <w:szCs w:val="28"/>
        </w:rPr>
        <w:t>①以泄为主，蓄泄结合。建设必要的调洪工程措施，减少下游洪峰流量。</w:t>
      </w:r>
    </w:p>
    <w:p w14:paraId="1EC4616F">
      <w:pPr>
        <w:pStyle w:val="17"/>
        <w:spacing w:line="580" w:lineRule="exact"/>
        <w:ind w:firstLine="560" w:firstLineChars="200"/>
        <w:textAlignment w:val="baseline"/>
        <w:rPr>
          <w:szCs w:val="28"/>
        </w:rPr>
      </w:pPr>
      <w:r>
        <w:rPr>
          <w:rFonts w:hint="eastAsia"/>
          <w:szCs w:val="28"/>
        </w:rPr>
        <w:t>②防洪规划要与环境整治、绿化、美化相结合，总体规划思路是：河道整治与道路建设相结合，与绿化、植树相结合，与排污管道埋设相结合。</w:t>
      </w:r>
    </w:p>
    <w:p w14:paraId="0E69DCD2">
      <w:pPr>
        <w:pStyle w:val="17"/>
        <w:spacing w:line="580" w:lineRule="exact"/>
        <w:ind w:firstLine="560" w:firstLineChars="200"/>
        <w:textAlignment w:val="baseline"/>
        <w:rPr>
          <w:szCs w:val="28"/>
        </w:rPr>
      </w:pPr>
      <w:r>
        <w:rPr>
          <w:rFonts w:hint="eastAsia"/>
          <w:szCs w:val="28"/>
        </w:rPr>
        <w:t>③加强防汛意识，依法管理。相关部门要采取有效措施，坚持按规划实施。</w:t>
      </w:r>
    </w:p>
    <w:p w14:paraId="2B4FA317">
      <w:pPr>
        <w:pStyle w:val="17"/>
        <w:spacing w:line="580" w:lineRule="exact"/>
        <w:ind w:firstLine="560" w:firstLineChars="200"/>
        <w:textAlignment w:val="baseline"/>
        <w:rPr>
          <w:szCs w:val="28"/>
        </w:rPr>
      </w:pPr>
      <w:r>
        <w:rPr>
          <w:rFonts w:hint="eastAsia"/>
          <w:szCs w:val="28"/>
        </w:rPr>
        <w:t>3、防洪标准</w:t>
      </w:r>
    </w:p>
    <w:p w14:paraId="5FFAC5F8">
      <w:pPr>
        <w:pStyle w:val="17"/>
        <w:spacing w:line="580" w:lineRule="exact"/>
        <w:ind w:firstLine="560" w:firstLineChars="200"/>
        <w:textAlignment w:val="baseline"/>
        <w:rPr>
          <w:szCs w:val="28"/>
        </w:rPr>
      </w:pPr>
      <w:r>
        <w:rPr>
          <w:rFonts w:hint="eastAsia"/>
          <w:szCs w:val="28"/>
        </w:rPr>
        <w:t>本规划对片区内河流按50年一遇标准设防。</w:t>
      </w:r>
    </w:p>
    <w:p w14:paraId="4D6C16AD">
      <w:pPr>
        <w:pStyle w:val="17"/>
        <w:spacing w:line="580" w:lineRule="exact"/>
        <w:ind w:firstLine="560" w:firstLineChars="200"/>
        <w:textAlignment w:val="baseline"/>
        <w:rPr>
          <w:szCs w:val="28"/>
        </w:rPr>
      </w:pPr>
      <w:bookmarkStart w:id="114" w:name="_Toc229456091"/>
      <w:bookmarkStart w:id="115" w:name="_Toc229456648"/>
      <w:bookmarkStart w:id="116" w:name="_Toc243101054"/>
      <w:r>
        <w:rPr>
          <w:rFonts w:hint="eastAsia"/>
          <w:szCs w:val="28"/>
        </w:rPr>
        <w:t>(二)消防规划</w:t>
      </w:r>
      <w:bookmarkEnd w:id="114"/>
      <w:bookmarkEnd w:id="115"/>
      <w:bookmarkEnd w:id="116"/>
    </w:p>
    <w:p w14:paraId="32976C36">
      <w:pPr>
        <w:pStyle w:val="17"/>
        <w:spacing w:line="580" w:lineRule="exact"/>
        <w:ind w:firstLine="560" w:firstLineChars="200"/>
        <w:textAlignment w:val="baseline"/>
        <w:rPr>
          <w:szCs w:val="28"/>
        </w:rPr>
      </w:pPr>
      <w:r>
        <w:rPr>
          <w:rFonts w:hint="eastAsia"/>
          <w:szCs w:val="28"/>
        </w:rPr>
        <w:t>1、消防站</w:t>
      </w:r>
    </w:p>
    <w:p w14:paraId="54727B57">
      <w:pPr>
        <w:pStyle w:val="17"/>
        <w:spacing w:line="580" w:lineRule="exact"/>
        <w:ind w:firstLine="560" w:firstLineChars="200"/>
        <w:textAlignment w:val="baseline"/>
        <w:rPr>
          <w:szCs w:val="28"/>
        </w:rPr>
      </w:pPr>
      <w:r>
        <w:rPr>
          <w:rFonts w:hint="eastAsia"/>
          <w:szCs w:val="28"/>
        </w:rPr>
        <w:t>本次规划区内未设置消防站，陵川县城共规划二座消防站，为标准型普通消防站。</w:t>
      </w:r>
    </w:p>
    <w:p w14:paraId="47C086D2">
      <w:pPr>
        <w:pStyle w:val="17"/>
        <w:spacing w:line="580" w:lineRule="exact"/>
        <w:ind w:firstLine="560" w:firstLineChars="200"/>
        <w:textAlignment w:val="baseline"/>
        <w:rPr>
          <w:szCs w:val="28"/>
        </w:rPr>
      </w:pPr>
      <w:r>
        <w:rPr>
          <w:rFonts w:hint="eastAsia"/>
          <w:szCs w:val="28"/>
        </w:rPr>
        <w:t>2、消防水源</w:t>
      </w:r>
    </w:p>
    <w:p w14:paraId="72657158">
      <w:pPr>
        <w:pStyle w:val="17"/>
        <w:spacing w:line="580" w:lineRule="exact"/>
        <w:ind w:firstLine="560" w:firstLineChars="200"/>
        <w:textAlignment w:val="baseline"/>
        <w:rPr>
          <w:szCs w:val="28"/>
        </w:rPr>
      </w:pPr>
      <w:r>
        <w:rPr>
          <w:rFonts w:hint="eastAsia"/>
          <w:szCs w:val="28"/>
        </w:rPr>
        <w:t>消防给水与城市生活生产给水为共用系统，要求城市市政给水管网以环状网布置为主，按规范布置消火栓，间距不大于120m，为消防取水提供可靠保障，同时要建立健全消火栓定期检测以及管理、使用、维修的规章制度。</w:t>
      </w:r>
    </w:p>
    <w:p w14:paraId="38656865">
      <w:pPr>
        <w:pStyle w:val="17"/>
        <w:spacing w:line="580" w:lineRule="exact"/>
        <w:ind w:firstLine="560" w:firstLineChars="200"/>
        <w:textAlignment w:val="baseline"/>
        <w:rPr>
          <w:szCs w:val="28"/>
        </w:rPr>
      </w:pPr>
      <w:r>
        <w:rPr>
          <w:rFonts w:hint="eastAsia"/>
          <w:szCs w:val="28"/>
        </w:rPr>
        <w:t>3、消防通道</w:t>
      </w:r>
    </w:p>
    <w:p w14:paraId="656E0093">
      <w:pPr>
        <w:pStyle w:val="17"/>
        <w:spacing w:line="580" w:lineRule="exact"/>
        <w:ind w:firstLine="560" w:firstLineChars="200"/>
        <w:textAlignment w:val="baseline"/>
        <w:rPr>
          <w:szCs w:val="28"/>
        </w:rPr>
      </w:pPr>
      <w:r>
        <w:rPr>
          <w:rFonts w:hint="eastAsia"/>
          <w:szCs w:val="28"/>
        </w:rPr>
        <w:t>为了满足消防需要，在城市建设中必须重视对消防通道的合理布局，尤其要及时完善街坊内部的消防通道，道路宽度应不小于3.5m，道路转弯半径不应小于15m。同时要加强交通管理，取缔占道经营、停车、施工等违章占道行为，保证消防通道畅通无阻。</w:t>
      </w:r>
    </w:p>
    <w:p w14:paraId="55D6E689">
      <w:pPr>
        <w:pStyle w:val="17"/>
        <w:spacing w:line="580" w:lineRule="exact"/>
        <w:ind w:firstLine="560" w:firstLineChars="200"/>
        <w:textAlignment w:val="baseline"/>
        <w:rPr>
          <w:szCs w:val="28"/>
        </w:rPr>
      </w:pPr>
      <w:r>
        <w:rPr>
          <w:rFonts w:hint="eastAsia"/>
          <w:szCs w:val="28"/>
        </w:rPr>
        <w:t>充分利用城市公园绿地、广场、学校等开敞空间作为防灾疏散避难场地。</w:t>
      </w:r>
    </w:p>
    <w:p w14:paraId="59F7A913">
      <w:pPr>
        <w:pStyle w:val="17"/>
        <w:spacing w:line="580" w:lineRule="exact"/>
        <w:ind w:firstLine="560" w:firstLineChars="200"/>
        <w:textAlignment w:val="baseline"/>
        <w:rPr>
          <w:szCs w:val="28"/>
        </w:rPr>
      </w:pPr>
      <w:r>
        <w:rPr>
          <w:rFonts w:hint="eastAsia"/>
          <w:szCs w:val="28"/>
        </w:rPr>
        <w:t>4、消防通信</w:t>
      </w:r>
    </w:p>
    <w:p w14:paraId="03A5FCFD">
      <w:pPr>
        <w:pStyle w:val="17"/>
        <w:spacing w:line="580" w:lineRule="exact"/>
        <w:ind w:firstLine="560" w:firstLineChars="200"/>
        <w:textAlignment w:val="baseline"/>
        <w:rPr>
          <w:szCs w:val="28"/>
        </w:rPr>
      </w:pPr>
      <w:r>
        <w:rPr>
          <w:rFonts w:hint="eastAsia"/>
          <w:szCs w:val="28"/>
        </w:rPr>
        <w:t>消防通信应保障火灾报警和灭火指挥调度迅速、准确可靠，通过有线、无线通信方式，结合先进的计算机技术，为消防接警、调度、指挥、管理的科学化、系统化、自动化和现代化提供有力的保证。晋城市消防指挥中心负责全市的消防调度指挥。</w:t>
      </w:r>
    </w:p>
    <w:p w14:paraId="0F234794">
      <w:pPr>
        <w:pStyle w:val="17"/>
        <w:spacing w:line="580" w:lineRule="exact"/>
        <w:ind w:firstLine="560" w:firstLineChars="200"/>
        <w:textAlignment w:val="baseline"/>
        <w:rPr>
          <w:szCs w:val="28"/>
        </w:rPr>
      </w:pPr>
      <w:r>
        <w:rPr>
          <w:rFonts w:hint="eastAsia"/>
          <w:szCs w:val="28"/>
        </w:rPr>
        <w:t>5、消防安全布局</w:t>
      </w:r>
    </w:p>
    <w:p w14:paraId="33542063">
      <w:pPr>
        <w:pStyle w:val="17"/>
        <w:spacing w:line="580" w:lineRule="exact"/>
        <w:ind w:firstLine="560" w:firstLineChars="200"/>
        <w:textAlignment w:val="baseline"/>
        <w:rPr>
          <w:szCs w:val="28"/>
        </w:rPr>
      </w:pPr>
      <w:r>
        <w:rPr>
          <w:rFonts w:hint="eastAsia"/>
          <w:szCs w:val="28"/>
        </w:rPr>
        <w:t>各项建设必须严格执行国家颁布的防火规范，确定防火等级，健全消防设施。燃气供应设施、危险品仓库以及其他一些生产、储存易燃易爆品的企事业单位严禁在居住区布置，并保证与周围建筑物的防护间距，采取相应的防护措施；布局不合理的，要限期予以搬迁，对液化气站、加油站，要严格审批制度，加强管理，对不符合安全要求的站点一律取缔。</w:t>
      </w:r>
    </w:p>
    <w:p w14:paraId="75130648">
      <w:pPr>
        <w:pStyle w:val="17"/>
        <w:spacing w:line="580" w:lineRule="exact"/>
        <w:ind w:firstLine="560" w:firstLineChars="200"/>
        <w:textAlignment w:val="baseline"/>
        <w:rPr>
          <w:szCs w:val="28"/>
        </w:rPr>
      </w:pPr>
      <w:r>
        <w:rPr>
          <w:rFonts w:hint="eastAsia"/>
          <w:szCs w:val="28"/>
        </w:rPr>
        <w:t>6、重点防火单位</w:t>
      </w:r>
    </w:p>
    <w:p w14:paraId="4578DFCE">
      <w:pPr>
        <w:pStyle w:val="17"/>
        <w:spacing w:line="580" w:lineRule="exact"/>
        <w:ind w:firstLine="560" w:firstLineChars="200"/>
        <w:textAlignment w:val="baseline"/>
        <w:rPr>
          <w:szCs w:val="28"/>
        </w:rPr>
      </w:pPr>
      <w:r>
        <w:rPr>
          <w:rFonts w:hint="eastAsia"/>
          <w:szCs w:val="28"/>
        </w:rPr>
        <w:t>本次规划区内变电站、水厂、大型商场、市场、加油站、燃气储配站、石油液化气站以及重要的行政办公设施均作为重点防火单位，应加强日常的消防监督管理。</w:t>
      </w:r>
    </w:p>
    <w:p w14:paraId="5E490120">
      <w:pPr>
        <w:pStyle w:val="17"/>
        <w:spacing w:line="580" w:lineRule="exact"/>
        <w:ind w:firstLine="560" w:firstLineChars="200"/>
        <w:textAlignment w:val="baseline"/>
        <w:rPr>
          <w:szCs w:val="28"/>
        </w:rPr>
      </w:pPr>
      <w:bookmarkStart w:id="117" w:name="_Toc229456649"/>
      <w:bookmarkStart w:id="118" w:name="_Toc229456092"/>
      <w:bookmarkStart w:id="119" w:name="_Toc243101055"/>
      <w:r>
        <w:rPr>
          <w:rFonts w:hint="eastAsia"/>
          <w:szCs w:val="28"/>
        </w:rPr>
        <w:t>(三)人防规划</w:t>
      </w:r>
      <w:bookmarkEnd w:id="117"/>
      <w:bookmarkEnd w:id="118"/>
      <w:bookmarkEnd w:id="119"/>
    </w:p>
    <w:p w14:paraId="1D572B6B">
      <w:pPr>
        <w:pStyle w:val="17"/>
        <w:spacing w:line="580" w:lineRule="exact"/>
        <w:ind w:firstLine="560" w:firstLineChars="200"/>
        <w:textAlignment w:val="baseline"/>
        <w:rPr>
          <w:szCs w:val="28"/>
        </w:rPr>
      </w:pPr>
      <w:r>
        <w:rPr>
          <w:rFonts w:hint="eastAsia"/>
          <w:szCs w:val="28"/>
        </w:rPr>
        <w:t>规划要立足于合理安排城市空间布局，对建筑物高度和密度严格控制，加强道路建设，保证片区对内对外交通的通畅。</w:t>
      </w:r>
    </w:p>
    <w:p w14:paraId="0A78FA07">
      <w:pPr>
        <w:pStyle w:val="17"/>
        <w:spacing w:line="580" w:lineRule="exact"/>
        <w:ind w:firstLine="560" w:firstLineChars="200"/>
        <w:textAlignment w:val="baseline"/>
        <w:rPr>
          <w:szCs w:val="28"/>
        </w:rPr>
      </w:pPr>
      <w:r>
        <w:rPr>
          <w:rFonts w:hint="eastAsia"/>
          <w:szCs w:val="28"/>
        </w:rPr>
        <w:t>加强绿地和广场的建设，保证片区拥有足够的疏散开敞空间。</w:t>
      </w:r>
    </w:p>
    <w:p w14:paraId="4CBAD596">
      <w:pPr>
        <w:pStyle w:val="17"/>
        <w:spacing w:line="580" w:lineRule="exact"/>
        <w:ind w:firstLine="560" w:firstLineChars="200"/>
        <w:textAlignment w:val="baseline"/>
        <w:rPr>
          <w:szCs w:val="28"/>
        </w:rPr>
      </w:pPr>
      <w:r>
        <w:rPr>
          <w:rFonts w:hint="eastAsia"/>
          <w:szCs w:val="28"/>
        </w:rPr>
        <w:t>加强对重点目标的防护，加强对易燃、易爆、危险品、剧毒品的管理，避免次生灾害的形成。</w:t>
      </w:r>
    </w:p>
    <w:p w14:paraId="69D825D4">
      <w:pPr>
        <w:pStyle w:val="17"/>
        <w:spacing w:line="580" w:lineRule="exact"/>
        <w:ind w:firstLine="560" w:firstLineChars="200"/>
        <w:textAlignment w:val="baseline"/>
        <w:rPr>
          <w:szCs w:val="28"/>
        </w:rPr>
      </w:pPr>
      <w:r>
        <w:rPr>
          <w:rFonts w:hint="eastAsia"/>
          <w:szCs w:val="28"/>
        </w:rPr>
        <w:t>人防建设规划</w:t>
      </w:r>
    </w:p>
    <w:p w14:paraId="6445DF03">
      <w:pPr>
        <w:pStyle w:val="17"/>
        <w:spacing w:line="580" w:lineRule="exact"/>
        <w:ind w:firstLine="560" w:firstLineChars="200"/>
        <w:textAlignment w:val="baseline"/>
        <w:rPr>
          <w:szCs w:val="28"/>
        </w:rPr>
      </w:pPr>
      <w:r>
        <w:rPr>
          <w:rFonts w:hint="eastAsia"/>
          <w:szCs w:val="28"/>
        </w:rPr>
        <w:t>1、按照以疏散为主、掩蔽为辅的原则，根据相关规定，确定战时疏散人口为城市人口的60%，留城人口为40%，人防工程总面积按人均1.5m</w:t>
      </w:r>
      <w:r>
        <w:rPr>
          <w:rFonts w:hint="eastAsia"/>
          <w:szCs w:val="28"/>
          <w:vertAlign w:val="superscript"/>
        </w:rPr>
        <w:t>2</w:t>
      </w:r>
      <w:r>
        <w:rPr>
          <w:rFonts w:hint="eastAsia"/>
          <w:szCs w:val="28"/>
        </w:rPr>
        <w:t>计算，约为</w:t>
      </w:r>
      <w:r>
        <w:rPr>
          <w:szCs w:val="28"/>
        </w:rPr>
        <w:t>5.9</w:t>
      </w:r>
      <w:r>
        <w:rPr>
          <w:rFonts w:hint="eastAsia"/>
          <w:szCs w:val="28"/>
        </w:rPr>
        <w:t>万m</w:t>
      </w:r>
      <w:r>
        <w:rPr>
          <w:rFonts w:hint="eastAsia"/>
          <w:szCs w:val="28"/>
          <w:vertAlign w:val="superscript"/>
        </w:rPr>
        <w:t>2</w:t>
      </w:r>
      <w:r>
        <w:rPr>
          <w:rFonts w:hint="eastAsia"/>
          <w:szCs w:val="28"/>
        </w:rPr>
        <w:t>。</w:t>
      </w:r>
    </w:p>
    <w:p w14:paraId="5A7A09A8">
      <w:pPr>
        <w:pStyle w:val="17"/>
        <w:spacing w:line="580" w:lineRule="exact"/>
        <w:ind w:firstLine="560" w:firstLineChars="200"/>
        <w:textAlignment w:val="baseline"/>
        <w:rPr>
          <w:szCs w:val="28"/>
        </w:rPr>
      </w:pPr>
      <w:r>
        <w:rPr>
          <w:rFonts w:hint="eastAsia"/>
          <w:szCs w:val="28"/>
        </w:rPr>
        <w:t>2、规划人防工事由掩蔽工事、指挥系统、给水系统、警报通信系统、供电系统、医疗救护系统、人防仓库、工程抢救系统等组成。</w:t>
      </w:r>
    </w:p>
    <w:p w14:paraId="54D3A4B4">
      <w:pPr>
        <w:pStyle w:val="17"/>
        <w:spacing w:line="580" w:lineRule="exact"/>
        <w:ind w:firstLine="560" w:firstLineChars="200"/>
        <w:textAlignment w:val="baseline"/>
        <w:rPr>
          <w:szCs w:val="28"/>
        </w:rPr>
      </w:pPr>
      <w:r>
        <w:rPr>
          <w:rFonts w:hint="eastAsia"/>
          <w:szCs w:val="28"/>
        </w:rPr>
        <w:t>3、城市应建设有线、无线、统控、自控相结合的防空警报网络。</w:t>
      </w:r>
    </w:p>
    <w:p w14:paraId="0165CF42">
      <w:pPr>
        <w:pStyle w:val="17"/>
        <w:spacing w:line="580" w:lineRule="exact"/>
        <w:ind w:firstLine="560" w:firstLineChars="200"/>
        <w:textAlignment w:val="baseline"/>
        <w:rPr>
          <w:szCs w:val="28"/>
        </w:rPr>
      </w:pPr>
      <w:r>
        <w:rPr>
          <w:rFonts w:hint="eastAsia"/>
          <w:szCs w:val="28"/>
        </w:rPr>
        <w:t>4、规划在城市重点地区如人流集散的广场、大型商场、医院、学校、政府机关等处修建一定规模的平战结合的掩蔽工事；车站、水厂、对外公路及重要生命线工程要作为重点防御目标，设置专门的工程抢修系统。</w:t>
      </w:r>
    </w:p>
    <w:p w14:paraId="5DBDF778">
      <w:pPr>
        <w:pStyle w:val="17"/>
        <w:spacing w:line="580" w:lineRule="exact"/>
        <w:ind w:firstLine="560" w:firstLineChars="200"/>
        <w:textAlignment w:val="baseline"/>
        <w:rPr>
          <w:szCs w:val="28"/>
        </w:rPr>
      </w:pPr>
      <w:r>
        <w:rPr>
          <w:rFonts w:hint="eastAsia"/>
          <w:szCs w:val="28"/>
        </w:rPr>
        <w:t>城市新建居住区内应按总建筑面积的2%设置人防工程，战时以居民掩蔽为主。</w:t>
      </w:r>
    </w:p>
    <w:p w14:paraId="6ECE3A88">
      <w:pPr>
        <w:pStyle w:val="17"/>
        <w:spacing w:line="580" w:lineRule="exact"/>
        <w:ind w:firstLine="560" w:firstLineChars="200"/>
        <w:textAlignment w:val="baseline"/>
        <w:rPr>
          <w:szCs w:val="28"/>
        </w:rPr>
      </w:pPr>
      <w:bookmarkStart w:id="120" w:name="_Toc243101056"/>
      <w:bookmarkStart w:id="121" w:name="_Toc229456093"/>
      <w:bookmarkStart w:id="122" w:name="_Toc229456650"/>
      <w:r>
        <w:rPr>
          <w:rFonts w:hint="eastAsia"/>
          <w:szCs w:val="28"/>
        </w:rPr>
        <w:t>(四)抗震规划</w:t>
      </w:r>
      <w:bookmarkEnd w:id="120"/>
      <w:bookmarkEnd w:id="121"/>
      <w:bookmarkEnd w:id="122"/>
    </w:p>
    <w:p w14:paraId="79CF1E44">
      <w:pPr>
        <w:pStyle w:val="17"/>
        <w:spacing w:line="580" w:lineRule="exact"/>
        <w:ind w:firstLine="560" w:firstLineChars="200"/>
        <w:textAlignment w:val="baseline"/>
        <w:rPr>
          <w:szCs w:val="28"/>
        </w:rPr>
      </w:pPr>
      <w:r>
        <w:rPr>
          <w:rFonts w:hint="eastAsia"/>
          <w:szCs w:val="28"/>
        </w:rPr>
        <w:t>基本目标：逐步提高城市综合抗震能力，最大限度地减轻地震发生时可能造成的损失和次生灾害，保障地震时人民生命财产的安全和经济建设的顺利进行，使城市在遭遇相当于基本烈度的地震时，要害系统不致遭受较重破坏，重要工业企业能正常或很快恢复生产，人民生活基本正常。</w:t>
      </w:r>
    </w:p>
    <w:p w14:paraId="4DD58C91">
      <w:pPr>
        <w:pStyle w:val="17"/>
        <w:spacing w:line="580" w:lineRule="exact"/>
        <w:ind w:firstLine="560" w:firstLineChars="200"/>
        <w:textAlignment w:val="baseline"/>
        <w:rPr>
          <w:szCs w:val="28"/>
        </w:rPr>
      </w:pPr>
      <w:r>
        <w:rPr>
          <w:rFonts w:hint="eastAsia"/>
          <w:szCs w:val="28"/>
        </w:rPr>
        <w:t>1、新建工程均应按基本烈度Ⅵ度设防。</w:t>
      </w:r>
      <w:r>
        <w:rPr>
          <w:szCs w:val="28"/>
        </w:rPr>
        <w:t>对社会有重大价值或者有重大影响的建设工程，以及可能发生严重次生灾害的建设工程，必须进行地震安全性评价，并根据评价结果确定抗震设防要求。</w:t>
      </w:r>
    </w:p>
    <w:p w14:paraId="6F085F5F">
      <w:pPr>
        <w:pStyle w:val="17"/>
        <w:spacing w:line="580" w:lineRule="exact"/>
        <w:ind w:firstLine="560" w:firstLineChars="200"/>
        <w:textAlignment w:val="baseline"/>
        <w:rPr>
          <w:szCs w:val="28"/>
        </w:rPr>
      </w:pPr>
      <w:r>
        <w:rPr>
          <w:rFonts w:hint="eastAsia"/>
          <w:szCs w:val="28"/>
        </w:rPr>
        <w:t>2、片区内部的公共绿地、广场、学校操场以及外围农田等开敞空间规划作为避震疏散场地，按人均2-3m</w:t>
      </w:r>
      <w:r>
        <w:rPr>
          <w:rFonts w:hint="eastAsia"/>
          <w:szCs w:val="28"/>
          <w:vertAlign w:val="superscript"/>
        </w:rPr>
        <w:t>2</w:t>
      </w:r>
      <w:r>
        <w:rPr>
          <w:rFonts w:hint="eastAsia"/>
          <w:szCs w:val="28"/>
        </w:rPr>
        <w:t>控制，疏散半径小于1km。</w:t>
      </w:r>
    </w:p>
    <w:p w14:paraId="09E16397">
      <w:pPr>
        <w:pStyle w:val="17"/>
        <w:spacing w:line="580" w:lineRule="exact"/>
        <w:ind w:firstLine="560" w:firstLineChars="200"/>
        <w:textAlignment w:val="baseline"/>
        <w:rPr>
          <w:szCs w:val="28"/>
        </w:rPr>
      </w:pPr>
      <w:r>
        <w:rPr>
          <w:rFonts w:hint="eastAsia"/>
          <w:szCs w:val="28"/>
        </w:rPr>
        <w:t>3、片区内各主次干道规划均作为疏散通道，通向市内疏散场地和郊外旷地以及长途交通设施。</w:t>
      </w:r>
    </w:p>
    <w:p w14:paraId="74CBC934">
      <w:pPr>
        <w:pStyle w:val="17"/>
        <w:spacing w:line="580" w:lineRule="exact"/>
        <w:ind w:firstLine="560" w:firstLineChars="200"/>
        <w:textAlignment w:val="baseline"/>
        <w:rPr>
          <w:szCs w:val="28"/>
        </w:rPr>
      </w:pPr>
      <w:r>
        <w:rPr>
          <w:rFonts w:hint="eastAsia"/>
          <w:szCs w:val="28"/>
        </w:rPr>
        <w:t>4、片区内供水管网、燃气管网等应采取对抗震有利的柔性接头，片区中压配电网应尽可能埋地敷设。</w:t>
      </w:r>
    </w:p>
    <w:p w14:paraId="6B1EFA5B">
      <w:pPr>
        <w:pStyle w:val="38"/>
        <w:numPr>
          <w:ilvl w:val="0"/>
          <w:numId w:val="10"/>
        </w:numPr>
        <w:spacing w:before="0" w:beforeLines="0" w:after="0" w:afterLines="0" w:line="580" w:lineRule="exact"/>
        <w:rPr>
          <w:rFonts w:ascii="黑体" w:hAnsi="黑体"/>
          <w:b/>
        </w:rPr>
      </w:pPr>
      <w:bookmarkStart w:id="123" w:name="_Toc528317056"/>
      <w:bookmarkStart w:id="124" w:name="_Toc402516203"/>
      <w:r>
        <w:rPr>
          <w:rFonts w:hint="eastAsia" w:ascii="黑体" w:hAnsi="黑体"/>
          <w:b/>
        </w:rPr>
        <w:t>管线综合规划</w:t>
      </w:r>
      <w:bookmarkEnd w:id="123"/>
      <w:bookmarkEnd w:id="124"/>
    </w:p>
    <w:p w14:paraId="492930E9">
      <w:pPr>
        <w:pStyle w:val="17"/>
        <w:spacing w:line="580" w:lineRule="exact"/>
        <w:ind w:firstLine="560" w:firstLineChars="200"/>
        <w:textAlignment w:val="baseline"/>
        <w:rPr>
          <w:szCs w:val="28"/>
        </w:rPr>
      </w:pPr>
      <w:r>
        <w:rPr>
          <w:rFonts w:hint="eastAsia"/>
          <w:szCs w:val="28"/>
        </w:rPr>
        <w:t>(一)管线综合的内容</w:t>
      </w:r>
    </w:p>
    <w:p w14:paraId="5B64E548">
      <w:pPr>
        <w:pStyle w:val="17"/>
        <w:spacing w:line="580" w:lineRule="exact"/>
        <w:ind w:firstLine="560" w:firstLineChars="200"/>
        <w:textAlignment w:val="baseline"/>
        <w:rPr>
          <w:szCs w:val="28"/>
        </w:rPr>
      </w:pPr>
      <w:r>
        <w:rPr>
          <w:rFonts w:hint="eastAsia"/>
          <w:szCs w:val="28"/>
        </w:rPr>
        <w:t>本规划管线的内容有；给水管线、污水管线、雨水管线、供热管线、电力管沟、电信（综合管沟）等线。</w:t>
      </w:r>
    </w:p>
    <w:p w14:paraId="6BD0E722">
      <w:pPr>
        <w:pStyle w:val="17"/>
        <w:spacing w:line="580" w:lineRule="exact"/>
        <w:ind w:firstLine="560" w:firstLineChars="200"/>
        <w:textAlignment w:val="baseline"/>
        <w:rPr>
          <w:szCs w:val="28"/>
        </w:rPr>
      </w:pPr>
      <w:r>
        <w:rPr>
          <w:rFonts w:hint="eastAsia"/>
          <w:szCs w:val="28"/>
        </w:rPr>
        <w:t>(二)管线平面综合</w:t>
      </w:r>
    </w:p>
    <w:p w14:paraId="2A9024A1">
      <w:pPr>
        <w:pStyle w:val="17"/>
        <w:spacing w:line="580" w:lineRule="exact"/>
        <w:ind w:firstLine="560" w:firstLineChars="200"/>
        <w:textAlignment w:val="baseline"/>
        <w:rPr>
          <w:szCs w:val="28"/>
        </w:rPr>
      </w:pPr>
      <w:r>
        <w:rPr>
          <w:rFonts w:hint="eastAsia"/>
          <w:szCs w:val="28"/>
        </w:rPr>
        <w:t>根据各种地管线性质、易损程度、建筑物对各种管线的安全距离要求以及各种管线相互间的安全距离要求，本着压力流避让重力流，易弯曲线避让不易弯曲管线，临时性管线避让永久性管线等原则，规划原则上对各种管线安排如下：雨水、污水管线安排在车行道下边，给水管道、供热管道、燃气管线、电力管沟、电信电缆块安排在人行道下，路灯电缆在缘石内侧，路灯杆布置在人行道上或绿化隔离带内。</w:t>
      </w:r>
    </w:p>
    <w:p w14:paraId="2DC484EC">
      <w:pPr>
        <w:pStyle w:val="17"/>
        <w:spacing w:line="580" w:lineRule="exact"/>
        <w:ind w:firstLine="560" w:firstLineChars="200"/>
        <w:textAlignment w:val="baseline"/>
        <w:rPr>
          <w:szCs w:val="28"/>
        </w:rPr>
      </w:pPr>
      <w:r>
        <w:rPr>
          <w:rFonts w:hint="eastAsia"/>
          <w:szCs w:val="28"/>
        </w:rPr>
        <w:t>埋设于一般干道下的各种管线均与道路中心线平行，从建筑红线向道路中心线布置的一般次序如下：</w:t>
      </w:r>
    </w:p>
    <w:p w14:paraId="3E079F54">
      <w:pPr>
        <w:pStyle w:val="17"/>
        <w:spacing w:line="580" w:lineRule="exact"/>
        <w:ind w:firstLine="560" w:firstLineChars="200"/>
        <w:textAlignment w:val="baseline"/>
        <w:rPr>
          <w:szCs w:val="28"/>
        </w:rPr>
      </w:pPr>
      <w:r>
        <w:rPr>
          <w:rFonts w:hint="eastAsia"/>
          <w:szCs w:val="28"/>
        </w:rPr>
        <w:t>西侧、北侧          东侧、南侧</w:t>
      </w:r>
    </w:p>
    <w:p w14:paraId="4AFB8519">
      <w:pPr>
        <w:pStyle w:val="17"/>
        <w:spacing w:line="580" w:lineRule="exact"/>
        <w:ind w:firstLine="560" w:firstLineChars="200"/>
        <w:textAlignment w:val="baseline"/>
        <w:rPr>
          <w:szCs w:val="28"/>
        </w:rPr>
      </w:pPr>
      <w:r>
        <w:rPr>
          <w:rFonts w:hint="eastAsia"/>
          <w:szCs w:val="28"/>
        </w:rPr>
        <w:t>1、燃气管道         1、供热管道</w:t>
      </w:r>
    </w:p>
    <w:p w14:paraId="1E2EC785">
      <w:pPr>
        <w:pStyle w:val="17"/>
        <w:spacing w:line="580" w:lineRule="exact"/>
        <w:ind w:firstLine="560" w:firstLineChars="200"/>
        <w:textAlignment w:val="baseline"/>
        <w:rPr>
          <w:szCs w:val="28"/>
        </w:rPr>
      </w:pPr>
      <w:r>
        <w:rPr>
          <w:rFonts w:hint="eastAsia"/>
          <w:szCs w:val="28"/>
        </w:rPr>
        <w:t>2、电信管道         2、给水管道</w:t>
      </w:r>
    </w:p>
    <w:p w14:paraId="386D3D16">
      <w:pPr>
        <w:pStyle w:val="17"/>
        <w:spacing w:line="580" w:lineRule="exact"/>
        <w:ind w:firstLine="560" w:firstLineChars="200"/>
        <w:textAlignment w:val="baseline"/>
        <w:rPr>
          <w:szCs w:val="28"/>
        </w:rPr>
      </w:pPr>
      <w:r>
        <w:rPr>
          <w:rFonts w:hint="eastAsia"/>
          <w:szCs w:val="28"/>
        </w:rPr>
        <w:t>3、电力电缆         3、雨水管道</w:t>
      </w:r>
    </w:p>
    <w:p w14:paraId="00328881">
      <w:pPr>
        <w:pStyle w:val="17"/>
        <w:spacing w:line="580" w:lineRule="exact"/>
        <w:ind w:firstLine="560" w:firstLineChars="200"/>
        <w:textAlignment w:val="baseline"/>
        <w:rPr>
          <w:szCs w:val="28"/>
        </w:rPr>
      </w:pPr>
      <w:r>
        <w:rPr>
          <w:rFonts w:hint="eastAsia"/>
          <w:szCs w:val="28"/>
        </w:rPr>
        <w:t xml:space="preserve">4、污水管道         </w:t>
      </w:r>
    </w:p>
    <w:p w14:paraId="0C44367C">
      <w:pPr>
        <w:pStyle w:val="17"/>
        <w:spacing w:line="580" w:lineRule="exact"/>
        <w:ind w:firstLine="560" w:firstLineChars="200"/>
        <w:textAlignment w:val="baseline"/>
        <w:rPr>
          <w:szCs w:val="28"/>
        </w:rPr>
      </w:pPr>
      <w:r>
        <w:rPr>
          <w:rFonts w:hint="eastAsia"/>
          <w:szCs w:val="28"/>
        </w:rPr>
        <w:t>(三)管线的竖向综合</w:t>
      </w:r>
    </w:p>
    <w:p w14:paraId="23F7F1EA">
      <w:pPr>
        <w:pStyle w:val="17"/>
        <w:spacing w:line="580" w:lineRule="exact"/>
        <w:ind w:firstLine="560" w:firstLineChars="200"/>
        <w:textAlignment w:val="baseline"/>
        <w:rPr>
          <w:szCs w:val="28"/>
        </w:rPr>
      </w:pPr>
      <w:r>
        <w:rPr>
          <w:rFonts w:hint="eastAsia"/>
          <w:szCs w:val="28"/>
        </w:rPr>
        <w:t>地下管线相互交叉时应满足各管道间的最小净距要求。具体要求见GB50289-98《城市工程管线综合规划规范》。</w:t>
      </w:r>
    </w:p>
    <w:p w14:paraId="0A02565B">
      <w:pPr>
        <w:spacing w:line="580" w:lineRule="exact"/>
        <w:rPr>
          <w:rFonts w:ascii="宋体" w:hAnsi="宋体"/>
          <w:sz w:val="28"/>
          <w:szCs w:val="28"/>
        </w:rPr>
      </w:pPr>
    </w:p>
    <w:p w14:paraId="2AE6412B">
      <w:pPr>
        <w:spacing w:line="580" w:lineRule="exact"/>
        <w:rPr>
          <w:rFonts w:ascii="宋体" w:hAnsi="宋体"/>
          <w:sz w:val="28"/>
          <w:szCs w:val="28"/>
        </w:rPr>
      </w:pPr>
    </w:p>
    <w:p w14:paraId="57AC8C8C">
      <w:pPr>
        <w:spacing w:line="580" w:lineRule="exact"/>
        <w:rPr>
          <w:rFonts w:ascii="宋体" w:hAnsi="宋体"/>
          <w:sz w:val="28"/>
          <w:szCs w:val="28"/>
        </w:rPr>
      </w:pPr>
    </w:p>
    <w:p w14:paraId="45BE4799">
      <w:pPr>
        <w:spacing w:line="580" w:lineRule="exact"/>
        <w:rPr>
          <w:rFonts w:ascii="宋体" w:hAnsi="宋体"/>
          <w:sz w:val="28"/>
          <w:szCs w:val="28"/>
        </w:rPr>
      </w:pPr>
    </w:p>
    <w:p w14:paraId="589677F3">
      <w:pPr>
        <w:spacing w:line="580" w:lineRule="exact"/>
        <w:rPr>
          <w:rFonts w:ascii="宋体" w:hAnsi="宋体"/>
          <w:sz w:val="28"/>
          <w:szCs w:val="28"/>
        </w:rPr>
      </w:pPr>
    </w:p>
    <w:p w14:paraId="13201F1A">
      <w:pPr>
        <w:spacing w:line="580" w:lineRule="exact"/>
        <w:rPr>
          <w:rFonts w:ascii="宋体" w:hAnsi="宋体"/>
          <w:sz w:val="28"/>
          <w:szCs w:val="28"/>
        </w:rPr>
      </w:pPr>
    </w:p>
    <w:p w14:paraId="33756343">
      <w:pPr>
        <w:spacing w:line="580" w:lineRule="exact"/>
        <w:rPr>
          <w:rFonts w:ascii="宋体" w:hAnsi="宋体"/>
          <w:sz w:val="28"/>
          <w:szCs w:val="28"/>
        </w:rPr>
      </w:pPr>
    </w:p>
    <w:p w14:paraId="6258B170">
      <w:pPr>
        <w:spacing w:line="580" w:lineRule="exact"/>
        <w:rPr>
          <w:rFonts w:ascii="宋体" w:hAnsi="宋体"/>
          <w:sz w:val="28"/>
          <w:szCs w:val="28"/>
        </w:rPr>
      </w:pPr>
    </w:p>
    <w:p w14:paraId="4F4A40BC">
      <w:pPr>
        <w:spacing w:line="580" w:lineRule="exact"/>
        <w:rPr>
          <w:rFonts w:ascii="宋体" w:hAnsi="宋体"/>
          <w:sz w:val="28"/>
          <w:szCs w:val="28"/>
        </w:rPr>
      </w:pPr>
    </w:p>
    <w:p w14:paraId="28FF1419">
      <w:pPr>
        <w:spacing w:line="580" w:lineRule="exact"/>
        <w:rPr>
          <w:rFonts w:ascii="宋体" w:hAnsi="宋体"/>
          <w:sz w:val="28"/>
          <w:szCs w:val="28"/>
        </w:rPr>
      </w:pPr>
    </w:p>
    <w:p w14:paraId="439640FA">
      <w:pPr>
        <w:spacing w:line="580" w:lineRule="exact"/>
        <w:rPr>
          <w:rFonts w:ascii="宋体" w:hAnsi="宋体"/>
          <w:sz w:val="28"/>
          <w:szCs w:val="28"/>
        </w:rPr>
      </w:pPr>
    </w:p>
    <w:p w14:paraId="6E1D1400">
      <w:pPr>
        <w:spacing w:line="580" w:lineRule="exact"/>
        <w:rPr>
          <w:rFonts w:ascii="宋体" w:hAnsi="宋体"/>
          <w:sz w:val="28"/>
          <w:szCs w:val="28"/>
        </w:rPr>
      </w:pPr>
    </w:p>
    <w:p w14:paraId="177AA870">
      <w:pPr>
        <w:spacing w:line="580" w:lineRule="exact"/>
        <w:rPr>
          <w:rFonts w:ascii="宋体" w:hAnsi="宋体"/>
          <w:sz w:val="28"/>
          <w:szCs w:val="28"/>
        </w:rPr>
      </w:pPr>
    </w:p>
    <w:p w14:paraId="39E00A82">
      <w:pPr>
        <w:pStyle w:val="2"/>
        <w:spacing w:before="0" w:after="0" w:line="552" w:lineRule="exact"/>
        <w:jc w:val="center"/>
        <w:rPr>
          <w:rFonts w:ascii="黑体" w:hAnsi="黑体" w:eastAsia="黑体"/>
          <w:sz w:val="36"/>
          <w:szCs w:val="36"/>
        </w:rPr>
      </w:pPr>
      <w:bookmarkStart w:id="125" w:name="_Toc24651"/>
      <w:bookmarkStart w:id="126" w:name="_Toc528317057"/>
      <w:bookmarkStart w:id="127" w:name="_Toc441214869"/>
      <w:r>
        <w:rPr>
          <w:rFonts w:hint="eastAsia" w:ascii="黑体" w:hAnsi="黑体" w:eastAsia="黑体"/>
          <w:sz w:val="36"/>
          <w:szCs w:val="36"/>
        </w:rPr>
        <w:t>第十章  生态</w:t>
      </w:r>
      <w:r>
        <w:rPr>
          <w:rFonts w:ascii="黑体" w:hAnsi="黑体" w:eastAsia="黑体"/>
          <w:sz w:val="36"/>
          <w:szCs w:val="36"/>
        </w:rPr>
        <w:t>、低碳、智慧设施建设</w:t>
      </w:r>
      <w:bookmarkEnd w:id="125"/>
      <w:bookmarkEnd w:id="126"/>
      <w:bookmarkEnd w:id="127"/>
    </w:p>
    <w:p w14:paraId="1E8120EC">
      <w:pPr>
        <w:pStyle w:val="47"/>
        <w:spacing w:line="552" w:lineRule="exact"/>
      </w:pPr>
      <w:bookmarkStart w:id="128" w:name="_Toc441214870"/>
      <w:bookmarkStart w:id="129" w:name="_Toc4427"/>
    </w:p>
    <w:p w14:paraId="591FDAF7">
      <w:pPr>
        <w:pStyle w:val="38"/>
        <w:numPr>
          <w:ilvl w:val="0"/>
          <w:numId w:val="12"/>
        </w:numPr>
        <w:spacing w:before="0" w:beforeLines="0" w:after="0" w:afterLines="0" w:line="552" w:lineRule="exact"/>
        <w:rPr>
          <w:rFonts w:ascii="黑体" w:hAnsi="黑体"/>
          <w:b/>
        </w:rPr>
      </w:pPr>
      <w:bookmarkStart w:id="130" w:name="_Toc528317058"/>
      <w:r>
        <w:rPr>
          <w:rFonts w:hint="eastAsia" w:ascii="黑体" w:hAnsi="黑体"/>
          <w:b/>
        </w:rPr>
        <w:t>低碳生态建设</w:t>
      </w:r>
      <w:bookmarkEnd w:id="128"/>
      <w:bookmarkEnd w:id="129"/>
      <w:bookmarkEnd w:id="130"/>
    </w:p>
    <w:p w14:paraId="05DAE2F5">
      <w:pPr>
        <w:pStyle w:val="37"/>
        <w:spacing w:line="552" w:lineRule="exact"/>
        <w:ind w:firstLine="560"/>
        <w:rPr>
          <w:sz w:val="28"/>
          <w:szCs w:val="28"/>
        </w:rPr>
      </w:pPr>
      <w:r>
        <w:rPr>
          <w:rFonts w:hint="eastAsia"/>
          <w:sz w:val="28"/>
          <w:szCs w:val="28"/>
        </w:rPr>
        <w:t>陵川县城区的</w:t>
      </w:r>
      <w:r>
        <w:rPr>
          <w:sz w:val="28"/>
          <w:szCs w:val="28"/>
        </w:rPr>
        <w:t>开发建设</w:t>
      </w:r>
      <w:r>
        <w:rPr>
          <w:rFonts w:hint="eastAsia"/>
          <w:sz w:val="28"/>
          <w:szCs w:val="28"/>
        </w:rPr>
        <w:t>基于</w:t>
      </w:r>
      <w:r>
        <w:rPr>
          <w:sz w:val="28"/>
          <w:szCs w:val="28"/>
        </w:rPr>
        <w:t>绿色、生态、低碳、智慧的理念</w:t>
      </w:r>
      <w:r>
        <w:rPr>
          <w:rFonts w:hint="eastAsia"/>
          <w:sz w:val="28"/>
          <w:szCs w:val="28"/>
        </w:rPr>
        <w:t>，</w:t>
      </w:r>
      <w:r>
        <w:rPr>
          <w:sz w:val="28"/>
          <w:szCs w:val="28"/>
        </w:rPr>
        <w:t>大力</w:t>
      </w:r>
      <w:r>
        <w:rPr>
          <w:rFonts w:hint="eastAsia"/>
          <w:sz w:val="28"/>
          <w:szCs w:val="28"/>
        </w:rPr>
        <w:t>开展</w:t>
      </w:r>
      <w:r>
        <w:rPr>
          <w:sz w:val="28"/>
          <w:szCs w:val="28"/>
        </w:rPr>
        <w:t>绿色</w:t>
      </w:r>
      <w:r>
        <w:rPr>
          <w:rFonts w:hint="eastAsia"/>
          <w:sz w:val="28"/>
          <w:szCs w:val="28"/>
        </w:rPr>
        <w:t>规划设计</w:t>
      </w:r>
      <w:r>
        <w:rPr>
          <w:sz w:val="28"/>
          <w:szCs w:val="28"/>
        </w:rPr>
        <w:t>、</w:t>
      </w:r>
      <w:r>
        <w:rPr>
          <w:rFonts w:hint="eastAsia"/>
          <w:sz w:val="28"/>
          <w:szCs w:val="28"/>
        </w:rPr>
        <w:t>发展</w:t>
      </w:r>
      <w:r>
        <w:rPr>
          <w:sz w:val="28"/>
          <w:szCs w:val="28"/>
        </w:rPr>
        <w:t>绿色交通</w:t>
      </w:r>
      <w:r>
        <w:rPr>
          <w:rFonts w:hint="eastAsia"/>
          <w:sz w:val="28"/>
          <w:szCs w:val="28"/>
        </w:rPr>
        <w:t>、</w:t>
      </w:r>
      <w:r>
        <w:rPr>
          <w:sz w:val="28"/>
          <w:szCs w:val="28"/>
        </w:rPr>
        <w:t>创建海绵型城区</w:t>
      </w:r>
      <w:r>
        <w:rPr>
          <w:rFonts w:hint="eastAsia"/>
          <w:sz w:val="28"/>
          <w:szCs w:val="28"/>
        </w:rPr>
        <w:t>，以</w:t>
      </w:r>
      <w:r>
        <w:rPr>
          <w:sz w:val="28"/>
          <w:szCs w:val="28"/>
        </w:rPr>
        <w:t>科技</w:t>
      </w:r>
      <w:r>
        <w:rPr>
          <w:rFonts w:hint="eastAsia"/>
          <w:sz w:val="28"/>
          <w:szCs w:val="28"/>
        </w:rPr>
        <w:t>为</w:t>
      </w:r>
      <w:r>
        <w:rPr>
          <w:sz w:val="28"/>
          <w:szCs w:val="28"/>
        </w:rPr>
        <w:t>引领，促进绿色发展</w:t>
      </w:r>
      <w:r>
        <w:rPr>
          <w:rFonts w:hint="eastAsia"/>
          <w:sz w:val="28"/>
          <w:szCs w:val="28"/>
        </w:rPr>
        <w:t>、</w:t>
      </w:r>
      <w:r>
        <w:rPr>
          <w:sz w:val="28"/>
          <w:szCs w:val="28"/>
        </w:rPr>
        <w:t>智慧发展。</w:t>
      </w:r>
    </w:p>
    <w:p w14:paraId="7D170F4C">
      <w:pPr>
        <w:pStyle w:val="37"/>
        <w:spacing w:line="552" w:lineRule="exact"/>
        <w:ind w:firstLine="560"/>
        <w:rPr>
          <w:sz w:val="28"/>
          <w:szCs w:val="28"/>
        </w:rPr>
      </w:pPr>
      <w:r>
        <w:rPr>
          <w:rFonts w:hint="eastAsia"/>
          <w:sz w:val="28"/>
          <w:szCs w:val="28"/>
        </w:rPr>
        <w:t>新建建筑根据使用功能和区位条件推荐绿色建筑星级标准，有条件的室外停车场推荐采用太阳能光伏发电并配建充电桩。对因实施外墙外保温、遮阳、太阳能光伏幕墙等绿色建筑技术而增加的建筑面积，可不纳入建筑容积率计算。</w:t>
      </w:r>
    </w:p>
    <w:p w14:paraId="6659F53B">
      <w:pPr>
        <w:pStyle w:val="47"/>
        <w:spacing w:line="552" w:lineRule="exact"/>
      </w:pPr>
      <w:r>
        <w:rPr>
          <w:rFonts w:hint="eastAsia"/>
        </w:rPr>
        <w:t>(一)绿地率</w:t>
      </w:r>
    </w:p>
    <w:p w14:paraId="0A899EAE">
      <w:pPr>
        <w:pStyle w:val="37"/>
        <w:spacing w:line="552" w:lineRule="exact"/>
        <w:ind w:firstLine="560"/>
        <w:rPr>
          <w:sz w:val="28"/>
          <w:szCs w:val="28"/>
        </w:rPr>
      </w:pPr>
      <w:r>
        <w:rPr>
          <w:rFonts w:hint="eastAsia"/>
          <w:sz w:val="28"/>
          <w:szCs w:val="28"/>
        </w:rPr>
        <w:t>绿化系统</w:t>
      </w:r>
      <w:r>
        <w:rPr>
          <w:sz w:val="28"/>
          <w:szCs w:val="28"/>
        </w:rPr>
        <w:t>不仅具有美化环境的功能，也</w:t>
      </w:r>
      <w:r>
        <w:rPr>
          <w:rFonts w:hint="eastAsia"/>
          <w:sz w:val="28"/>
          <w:szCs w:val="28"/>
        </w:rPr>
        <w:t>具备</w:t>
      </w:r>
      <w:r>
        <w:rPr>
          <w:sz w:val="28"/>
          <w:szCs w:val="28"/>
        </w:rPr>
        <w:t>净化空气和调节小气候等生态功能。</w:t>
      </w:r>
      <w:r>
        <w:rPr>
          <w:rFonts w:hint="eastAsia"/>
          <w:sz w:val="28"/>
          <w:szCs w:val="28"/>
        </w:rPr>
        <w:t>根据总体规划提出的居住用地、公共管理与公共服务设施用地、供水用地、环境设施用地，净用地绿地率不应小于30％的设置标准</w:t>
      </w:r>
      <w:r>
        <w:rPr>
          <w:sz w:val="28"/>
          <w:szCs w:val="28"/>
        </w:rPr>
        <w:t>，</w:t>
      </w:r>
      <w:r>
        <w:rPr>
          <w:rFonts w:hint="eastAsia"/>
          <w:sz w:val="28"/>
          <w:szCs w:val="28"/>
        </w:rPr>
        <w:t>并结合陵川现状自然本底，绿化空间</w:t>
      </w:r>
      <w:r>
        <w:rPr>
          <w:sz w:val="28"/>
          <w:szCs w:val="28"/>
        </w:rPr>
        <w:t>占比</w:t>
      </w:r>
      <w:r>
        <w:rPr>
          <w:rFonts w:hint="eastAsia"/>
          <w:sz w:val="28"/>
          <w:szCs w:val="28"/>
        </w:rPr>
        <w:t>较高。</w:t>
      </w:r>
      <w:r>
        <w:rPr>
          <w:sz w:val="28"/>
          <w:szCs w:val="28"/>
        </w:rPr>
        <w:t>同时</w:t>
      </w:r>
      <w:r>
        <w:rPr>
          <w:rFonts w:hint="eastAsia"/>
          <w:sz w:val="28"/>
          <w:szCs w:val="28"/>
        </w:rPr>
        <w:t>强调</w:t>
      </w:r>
      <w:r>
        <w:rPr>
          <w:sz w:val="28"/>
          <w:szCs w:val="28"/>
        </w:rPr>
        <w:t>绿地构成中，以本地植物群落为主，本地植物指数应大于0.7</w:t>
      </w:r>
      <w:r>
        <w:rPr>
          <w:rFonts w:hint="eastAsia"/>
          <w:sz w:val="28"/>
          <w:szCs w:val="28"/>
        </w:rPr>
        <w:t>。</w:t>
      </w:r>
    </w:p>
    <w:p w14:paraId="534D2BCD">
      <w:pPr>
        <w:pStyle w:val="47"/>
        <w:spacing w:line="552" w:lineRule="exact"/>
      </w:pPr>
      <w:r>
        <w:rPr>
          <w:rFonts w:hint="eastAsia"/>
        </w:rPr>
        <w:t>(二)直饮水</w:t>
      </w:r>
    </w:p>
    <w:p w14:paraId="7316D42B">
      <w:pPr>
        <w:pStyle w:val="37"/>
        <w:spacing w:line="552" w:lineRule="exact"/>
        <w:ind w:firstLine="560"/>
        <w:rPr>
          <w:sz w:val="28"/>
          <w:szCs w:val="28"/>
        </w:rPr>
      </w:pPr>
      <w:r>
        <w:rPr>
          <w:rFonts w:hint="eastAsia"/>
          <w:sz w:val="28"/>
          <w:szCs w:val="28"/>
        </w:rPr>
        <w:t>考虑</w:t>
      </w:r>
      <w:r>
        <w:rPr>
          <w:sz w:val="28"/>
          <w:szCs w:val="28"/>
        </w:rPr>
        <w:t>人群</w:t>
      </w:r>
      <w:r>
        <w:rPr>
          <w:rFonts w:hint="eastAsia"/>
          <w:sz w:val="28"/>
          <w:szCs w:val="28"/>
        </w:rPr>
        <w:t>需求</w:t>
      </w:r>
      <w:r>
        <w:rPr>
          <w:sz w:val="28"/>
          <w:szCs w:val="28"/>
        </w:rPr>
        <w:t>和使用频率，</w:t>
      </w:r>
      <w:r>
        <w:rPr>
          <w:rFonts w:hint="eastAsia"/>
          <w:sz w:val="28"/>
          <w:szCs w:val="28"/>
        </w:rPr>
        <w:t>在公园、广场、文化设施等公共空间设置终端净化直饮水设施，出水水质符合</w:t>
      </w:r>
      <w:r>
        <w:rPr>
          <w:sz w:val="28"/>
          <w:szCs w:val="28"/>
        </w:rPr>
        <w:t>《</w:t>
      </w:r>
      <w:r>
        <w:rPr>
          <w:rFonts w:hint="eastAsia"/>
          <w:sz w:val="28"/>
          <w:szCs w:val="28"/>
        </w:rPr>
        <w:t>生活饮用水卫生标准（GB5479-2006）</w:t>
      </w:r>
      <w:r>
        <w:rPr>
          <w:sz w:val="28"/>
          <w:szCs w:val="28"/>
        </w:rPr>
        <w:t>》</w:t>
      </w:r>
      <w:r>
        <w:rPr>
          <w:rFonts w:hint="eastAsia"/>
          <w:sz w:val="28"/>
          <w:szCs w:val="28"/>
        </w:rPr>
        <w:t>中</w:t>
      </w:r>
      <w:r>
        <w:rPr>
          <w:sz w:val="28"/>
          <w:szCs w:val="28"/>
        </w:rPr>
        <w:t>的全部指标要求</w:t>
      </w:r>
      <w:r>
        <w:rPr>
          <w:rFonts w:hint="eastAsia"/>
          <w:sz w:val="28"/>
          <w:szCs w:val="28"/>
        </w:rPr>
        <w:t>。</w:t>
      </w:r>
    </w:p>
    <w:p w14:paraId="4A6254FA">
      <w:pPr>
        <w:pStyle w:val="47"/>
        <w:spacing w:line="552" w:lineRule="exact"/>
      </w:pPr>
      <w:r>
        <w:rPr>
          <w:rFonts w:hint="eastAsia"/>
        </w:rPr>
        <w:t>(三)太阳能</w:t>
      </w:r>
    </w:p>
    <w:p w14:paraId="74935520">
      <w:pPr>
        <w:pStyle w:val="37"/>
        <w:spacing w:line="552" w:lineRule="exact"/>
        <w:ind w:firstLine="560"/>
        <w:rPr>
          <w:sz w:val="28"/>
          <w:szCs w:val="28"/>
        </w:rPr>
      </w:pPr>
      <w:r>
        <w:rPr>
          <w:rFonts w:hint="eastAsia"/>
          <w:sz w:val="28"/>
          <w:szCs w:val="28"/>
        </w:rPr>
        <w:t>鼓励利用太阳能热水系统为居民提供生活热水。鼓励发展分布式光伏发电，结合终端智能监控与余电上网技术，积极探索太阳能利用新技术。</w:t>
      </w:r>
    </w:p>
    <w:p w14:paraId="22348432">
      <w:pPr>
        <w:pStyle w:val="38"/>
        <w:numPr>
          <w:ilvl w:val="0"/>
          <w:numId w:val="12"/>
        </w:numPr>
        <w:spacing w:before="0" w:beforeLines="0" w:after="0" w:afterLines="0" w:line="552" w:lineRule="exact"/>
        <w:rPr>
          <w:rFonts w:ascii="黑体" w:hAnsi="黑体"/>
          <w:b/>
        </w:rPr>
      </w:pPr>
      <w:bookmarkStart w:id="131" w:name="_Toc528317059"/>
      <w:bookmarkStart w:id="132" w:name="_Toc19826"/>
      <w:bookmarkStart w:id="133" w:name="_Toc441214871"/>
      <w:r>
        <w:rPr>
          <w:rFonts w:hint="eastAsia" w:ascii="黑体" w:hAnsi="黑体"/>
          <w:b/>
        </w:rPr>
        <w:t>海绵城市建设</w:t>
      </w:r>
      <w:bookmarkEnd w:id="131"/>
      <w:bookmarkEnd w:id="132"/>
      <w:bookmarkEnd w:id="133"/>
    </w:p>
    <w:p w14:paraId="7A37C70E">
      <w:pPr>
        <w:pStyle w:val="37"/>
        <w:spacing w:line="552" w:lineRule="exact"/>
        <w:ind w:firstLine="560"/>
        <w:rPr>
          <w:sz w:val="28"/>
          <w:szCs w:val="28"/>
        </w:rPr>
      </w:pPr>
      <w:r>
        <w:rPr>
          <w:rFonts w:hint="eastAsia"/>
          <w:sz w:val="28"/>
          <w:szCs w:val="28"/>
        </w:rPr>
        <w:t>推广和应用低影响开发建设模式，加大城市径流雨水源头减排的刚性约束，采用适宜的技术建设生态绿色排水设施，充分发挥城市绿地、道路、水系等对雨水的吸纳、蓄渗和缓释作用，使城市开发建设后的水文特征接近开发前，达到有效缓解城市内涝、充分削减城市雨水径流污染负荷、节约水资源、保障城市安全的目的，建设自然积存、自然渗透、自然净化的“海绵城市”，保护和改善城市生态环境。</w:t>
      </w:r>
    </w:p>
    <w:p w14:paraId="110D3D39">
      <w:pPr>
        <w:pStyle w:val="47"/>
        <w:spacing w:line="552" w:lineRule="exact"/>
      </w:pPr>
      <w:r>
        <w:rPr>
          <w:rFonts w:hint="eastAsia"/>
        </w:rPr>
        <w:t>(一)雨水花园（广义下沉式绿地）</w:t>
      </w:r>
    </w:p>
    <w:p w14:paraId="26026259">
      <w:pPr>
        <w:pStyle w:val="37"/>
        <w:spacing w:line="552" w:lineRule="exact"/>
        <w:ind w:firstLine="560"/>
        <w:rPr>
          <w:sz w:val="28"/>
          <w:szCs w:val="28"/>
        </w:rPr>
      </w:pPr>
      <w:r>
        <w:rPr>
          <w:rFonts w:hint="eastAsia"/>
          <w:sz w:val="28"/>
          <w:szCs w:val="28"/>
        </w:rPr>
        <w:t>1、建筑小区建筑布局、景观设计、市政设施等改造和建设工程应系统考虑，竖向控制应考虑与周围区域雨水设施的衔接，优先考虑采用诸如雨水花园等分散式的源头控制措施。</w:t>
      </w:r>
    </w:p>
    <w:p w14:paraId="1237F778">
      <w:pPr>
        <w:pStyle w:val="37"/>
        <w:spacing w:line="552" w:lineRule="exact"/>
        <w:ind w:firstLine="560"/>
        <w:rPr>
          <w:sz w:val="28"/>
          <w:szCs w:val="28"/>
        </w:rPr>
      </w:pPr>
      <w:r>
        <w:rPr>
          <w:rFonts w:hint="eastAsia"/>
          <w:sz w:val="28"/>
          <w:szCs w:val="28"/>
        </w:rPr>
        <w:t>2、应结合景观设计采用微地形等设计手法，区内绿地尽量设计为下凹式绿地、植被渗透沟、雨水花园等滞留设施的形式，增加绿地对于雨水径流的蓄渗能力，并设置雨水溢流口，保证绿色基础设施与传统雨水排水系统的衔接。</w:t>
      </w:r>
    </w:p>
    <w:p w14:paraId="22945179">
      <w:pPr>
        <w:pStyle w:val="37"/>
        <w:spacing w:line="552" w:lineRule="exact"/>
        <w:ind w:firstLine="560"/>
        <w:rPr>
          <w:sz w:val="28"/>
          <w:szCs w:val="28"/>
        </w:rPr>
      </w:pPr>
      <w:r>
        <w:rPr>
          <w:rFonts w:hint="eastAsia"/>
          <w:sz w:val="28"/>
          <w:szCs w:val="28"/>
        </w:rPr>
        <w:t>3、建筑周边传统的高位花坛或种植带的设计，可选择重新设计为植被浅沟、渗透沟槽等地表排水形式输送、消纳、滞留雨水径流，削减、净化小区内雨水经流，并宜采用雨水口截污挂篮、环保雨水口等措施。</w:t>
      </w:r>
    </w:p>
    <w:p w14:paraId="359DB1D2">
      <w:pPr>
        <w:pStyle w:val="37"/>
        <w:spacing w:line="552" w:lineRule="exact"/>
        <w:ind w:firstLine="560"/>
        <w:rPr>
          <w:sz w:val="28"/>
          <w:szCs w:val="28"/>
        </w:rPr>
      </w:pPr>
      <w:r>
        <w:rPr>
          <w:rFonts w:hint="eastAsia"/>
          <w:sz w:val="28"/>
          <w:szCs w:val="28"/>
        </w:rPr>
        <w:t>4、有景观水体等调蓄设施的单元或地块应充分考虑场地条件，并结合安全、生态环境、景观设计的要求将景观水体进行适当改造，与雨水控制利用措施相结合。</w:t>
      </w:r>
    </w:p>
    <w:p w14:paraId="3FBD83C1">
      <w:pPr>
        <w:pStyle w:val="37"/>
        <w:spacing w:line="552" w:lineRule="exact"/>
        <w:ind w:firstLine="560"/>
        <w:rPr>
          <w:sz w:val="28"/>
          <w:szCs w:val="28"/>
        </w:rPr>
      </w:pPr>
      <w:r>
        <w:rPr>
          <w:rFonts w:hint="eastAsia"/>
          <w:sz w:val="28"/>
          <w:szCs w:val="28"/>
        </w:rPr>
        <w:t>5、雨水径流经各种源头处理设施后方可作为景观水体补水和绿化用水，严格限制自来水作为景观水体的补水水源。</w:t>
      </w:r>
    </w:p>
    <w:p w14:paraId="6DAA3DAA">
      <w:pPr>
        <w:pStyle w:val="37"/>
        <w:spacing w:line="552" w:lineRule="exact"/>
        <w:ind w:firstLine="560"/>
        <w:rPr>
          <w:sz w:val="28"/>
          <w:szCs w:val="28"/>
        </w:rPr>
      </w:pPr>
      <w:r>
        <w:rPr>
          <w:rFonts w:hint="eastAsia"/>
          <w:sz w:val="28"/>
          <w:szCs w:val="28"/>
        </w:rPr>
        <w:t>6、广场、人行道、小区内部道路及其它无大容量汽车通过的路面，根据场地条件，应广泛采用透水性铺装，提高路面对雨水地表径流的渗透能力、净化雨水水质、提高排涝标准。</w:t>
      </w:r>
    </w:p>
    <w:p w14:paraId="29931D24">
      <w:pPr>
        <w:pStyle w:val="37"/>
        <w:spacing w:line="552" w:lineRule="exact"/>
        <w:ind w:firstLine="560"/>
        <w:rPr>
          <w:sz w:val="28"/>
          <w:szCs w:val="28"/>
        </w:rPr>
      </w:pPr>
      <w:r>
        <w:rPr>
          <w:rFonts w:hint="eastAsia"/>
          <w:sz w:val="28"/>
          <w:szCs w:val="28"/>
        </w:rPr>
        <w:t>7、组团内靠近道路、或绿化率较低、或与雨水集利用设施相连的住宅优先设计为绿色屋面。</w:t>
      </w:r>
    </w:p>
    <w:p w14:paraId="651E9855">
      <w:pPr>
        <w:pStyle w:val="37"/>
        <w:spacing w:line="552" w:lineRule="exact"/>
        <w:ind w:firstLine="560"/>
        <w:rPr>
          <w:sz w:val="28"/>
          <w:szCs w:val="28"/>
        </w:rPr>
      </w:pPr>
      <w:r>
        <w:rPr>
          <w:rFonts w:hint="eastAsia"/>
          <w:sz w:val="28"/>
          <w:szCs w:val="28"/>
        </w:rPr>
        <w:t>8、雨水花园的设置应考虑现状土壤及底基层的组成的复杂性，结合周边排水管道及雨水口位置，雨水花园的设置需对场地现状土壤构造进行优化，通过改善种植土层土质条件，增加过滤净化层及卵石排水管，其雨水的净化处理效果更强，同时蓄渗雨水能能力也更强，单位面积雨水花园削减径流控制容积的规模也更大。</w:t>
      </w:r>
    </w:p>
    <w:p w14:paraId="2494726F">
      <w:pPr>
        <w:pStyle w:val="37"/>
        <w:spacing w:line="552" w:lineRule="exact"/>
        <w:ind w:firstLine="560"/>
        <w:rPr>
          <w:sz w:val="28"/>
          <w:szCs w:val="28"/>
        </w:rPr>
      </w:pPr>
      <w:r>
        <w:rPr>
          <w:rFonts w:hint="eastAsia"/>
          <w:sz w:val="28"/>
          <w:szCs w:val="28"/>
        </w:rPr>
        <w:t>9、雨水花园的平面布置可结合场地现状，做到利用及融入周边地形地势，其内部植物的选择与搭配多样化，有很好的景观效果，对于提升单元内部景观有很大帮助。同时，在停车场等径流污染潜在高发区尤为适用。</w:t>
      </w:r>
    </w:p>
    <w:p w14:paraId="164AAB2C">
      <w:pPr>
        <w:pStyle w:val="47"/>
        <w:spacing w:line="552" w:lineRule="exact"/>
      </w:pPr>
      <w:r>
        <w:rPr>
          <w:rFonts w:hint="eastAsia"/>
        </w:rPr>
        <w:t>(二)单元低影响开发控制指标</w:t>
      </w:r>
    </w:p>
    <w:p w14:paraId="74BDAB41">
      <w:pPr>
        <w:pStyle w:val="37"/>
        <w:spacing w:line="552" w:lineRule="exact"/>
        <w:ind w:firstLine="560"/>
        <w:rPr>
          <w:sz w:val="28"/>
          <w:szCs w:val="28"/>
        </w:rPr>
      </w:pPr>
      <w:r>
        <w:rPr>
          <w:rFonts w:hint="eastAsia"/>
          <w:sz w:val="28"/>
          <w:szCs w:val="28"/>
        </w:rPr>
        <w:t>本次规划为优化土地利用空间，满足相关规范关于低影响开发的控制目标及要求，结合建筑密度、绿地率等约束性控制指标，提出各组团的下沉式绿地率、透水铺装率及综合径流系数等控制指标，建议将其纳入地块规划设计要点，并作为土地开发建设的规划设计条件。</w:t>
      </w:r>
    </w:p>
    <w:p w14:paraId="65AC40A3">
      <w:pPr>
        <w:pStyle w:val="38"/>
        <w:numPr>
          <w:ilvl w:val="0"/>
          <w:numId w:val="12"/>
        </w:numPr>
        <w:spacing w:before="0" w:beforeLines="0" w:after="0" w:afterLines="0" w:line="552" w:lineRule="exact"/>
        <w:rPr>
          <w:rFonts w:ascii="黑体" w:hAnsi="黑体"/>
          <w:b/>
        </w:rPr>
      </w:pPr>
      <w:bookmarkStart w:id="134" w:name="_Toc441214872"/>
      <w:bookmarkStart w:id="135" w:name="_Toc29309"/>
      <w:bookmarkStart w:id="136" w:name="_Toc528317060"/>
      <w:r>
        <w:rPr>
          <w:rFonts w:hint="eastAsia" w:ascii="黑体" w:hAnsi="黑体"/>
          <w:b/>
        </w:rPr>
        <w:t>智慧</w:t>
      </w:r>
      <w:r>
        <w:rPr>
          <w:rFonts w:ascii="黑体" w:hAnsi="黑体"/>
          <w:b/>
        </w:rPr>
        <w:t>城市建设</w:t>
      </w:r>
      <w:bookmarkEnd w:id="134"/>
      <w:bookmarkEnd w:id="135"/>
      <w:bookmarkEnd w:id="136"/>
    </w:p>
    <w:p w14:paraId="31860F34">
      <w:pPr>
        <w:pStyle w:val="47"/>
        <w:spacing w:line="552" w:lineRule="exact"/>
      </w:pPr>
      <w:r>
        <w:rPr>
          <w:rFonts w:hint="eastAsia"/>
        </w:rPr>
        <w:t>(一)智慧健康</w:t>
      </w:r>
    </w:p>
    <w:p w14:paraId="525B5E52">
      <w:pPr>
        <w:pStyle w:val="37"/>
        <w:spacing w:line="552" w:lineRule="exact"/>
        <w:ind w:firstLine="560"/>
        <w:rPr>
          <w:sz w:val="28"/>
          <w:szCs w:val="28"/>
        </w:rPr>
      </w:pPr>
      <w:r>
        <w:rPr>
          <w:rFonts w:hint="eastAsia"/>
          <w:sz w:val="28"/>
          <w:szCs w:val="28"/>
        </w:rPr>
        <w:t>通过微信、社区独立APP、邻里服务中心的智能终端、智能可穿戴设备等方式归集公共卫生系统、医院信息系统、社区医疗系统、居民个人的健康数据，将居民的身体健康信息（例如血糖、血压、脉搏等）实时上传并由社区医生或主治医师进行确认；同时通过个人终端进行预约服务、视频诊疗，以及医护人员远程会诊，并支持在线处方及药品配送。</w:t>
      </w:r>
    </w:p>
    <w:p w14:paraId="628202FF">
      <w:pPr>
        <w:pStyle w:val="47"/>
        <w:spacing w:line="552" w:lineRule="exact"/>
      </w:pPr>
      <w:r>
        <w:rPr>
          <w:rFonts w:hint="eastAsia"/>
        </w:rPr>
        <w:t>(二)智慧社区</w:t>
      </w:r>
    </w:p>
    <w:p w14:paraId="2C4E2CC5">
      <w:pPr>
        <w:pStyle w:val="37"/>
        <w:spacing w:line="552" w:lineRule="exact"/>
        <w:ind w:firstLine="560"/>
        <w:rPr>
          <w:sz w:val="28"/>
          <w:szCs w:val="28"/>
        </w:rPr>
      </w:pPr>
      <w:r>
        <w:rPr>
          <w:rFonts w:hint="eastAsia"/>
          <w:sz w:val="28"/>
          <w:szCs w:val="28"/>
        </w:rPr>
        <w:t>智慧物业。通过监控设备、网络系统、采集处理设施等的智能化集成，实现组团内部对</w:t>
      </w:r>
      <w:r>
        <w:rPr>
          <w:sz w:val="28"/>
          <w:szCs w:val="28"/>
        </w:rPr>
        <w:t>停车场管理、闭路监控管理、门禁系统、电梯管理、保安巡逻、远程抄表，自动喷淋等相关物业的智能化管理，实现社区各独立应用子系统的融合，进行集中运营管理。</w:t>
      </w:r>
    </w:p>
    <w:p w14:paraId="1A59D415">
      <w:pPr>
        <w:pStyle w:val="37"/>
        <w:spacing w:line="552" w:lineRule="exact"/>
        <w:ind w:firstLine="560"/>
        <w:rPr>
          <w:sz w:val="28"/>
          <w:szCs w:val="28"/>
        </w:rPr>
      </w:pPr>
      <w:r>
        <w:rPr>
          <w:rFonts w:hint="eastAsia"/>
          <w:sz w:val="28"/>
          <w:szCs w:val="28"/>
        </w:rPr>
        <w:t>智慧养老。借助高速畅通的网络环境，</w:t>
      </w:r>
      <w:r>
        <w:rPr>
          <w:sz w:val="28"/>
          <w:szCs w:val="28"/>
        </w:rPr>
        <w:t>利用物联网技术，通过各类传感器，使老人的日常生活处于远程监控状态，</w:t>
      </w:r>
      <w:r>
        <w:rPr>
          <w:rFonts w:hint="eastAsia"/>
          <w:sz w:val="28"/>
          <w:szCs w:val="28"/>
        </w:rPr>
        <w:t>并及时提供相应</w:t>
      </w:r>
      <w:r>
        <w:rPr>
          <w:sz w:val="28"/>
          <w:szCs w:val="28"/>
        </w:rPr>
        <w:t>服务</w:t>
      </w:r>
      <w:r>
        <w:rPr>
          <w:rFonts w:hint="eastAsia"/>
          <w:sz w:val="28"/>
          <w:szCs w:val="28"/>
        </w:rPr>
        <w:t>，</w:t>
      </w:r>
      <w:r>
        <w:rPr>
          <w:sz w:val="28"/>
          <w:szCs w:val="28"/>
        </w:rPr>
        <w:t>使得老人拥有安全保障，子女可以放心工作，政府能够方便管理。</w:t>
      </w:r>
    </w:p>
    <w:p w14:paraId="3B4FA987">
      <w:pPr>
        <w:pStyle w:val="37"/>
        <w:spacing w:line="552" w:lineRule="exact"/>
        <w:ind w:firstLine="560"/>
        <w:rPr>
          <w:sz w:val="28"/>
          <w:szCs w:val="28"/>
        </w:rPr>
      </w:pPr>
      <w:r>
        <w:rPr>
          <w:rFonts w:hint="eastAsia"/>
          <w:sz w:val="28"/>
          <w:szCs w:val="28"/>
        </w:rPr>
        <w:t>智慧家居。</w:t>
      </w:r>
      <w:r>
        <w:rPr>
          <w:sz w:val="28"/>
          <w:szCs w:val="28"/>
        </w:rPr>
        <w:t>以</w:t>
      </w:r>
      <w:r>
        <w:rPr>
          <w:rFonts w:hint="eastAsia"/>
          <w:sz w:val="28"/>
          <w:szCs w:val="28"/>
        </w:rPr>
        <w:t>单体建筑</w:t>
      </w:r>
      <w:r>
        <w:rPr>
          <w:sz w:val="28"/>
          <w:szCs w:val="28"/>
        </w:rPr>
        <w:t>为平台，兼备建筑、网络通信、信息家电、设备自动化</w:t>
      </w:r>
      <w:r>
        <w:rPr>
          <w:rFonts w:hint="eastAsia"/>
          <w:sz w:val="28"/>
          <w:szCs w:val="28"/>
        </w:rPr>
        <w:t>等</w:t>
      </w:r>
      <w:r>
        <w:rPr>
          <w:sz w:val="28"/>
          <w:szCs w:val="28"/>
        </w:rPr>
        <w:t>智能家居</w:t>
      </w:r>
      <w:r>
        <w:rPr>
          <w:rFonts w:hint="eastAsia"/>
          <w:sz w:val="28"/>
          <w:szCs w:val="28"/>
        </w:rPr>
        <w:t>类型</w:t>
      </w:r>
      <w:r>
        <w:rPr>
          <w:sz w:val="28"/>
          <w:szCs w:val="28"/>
        </w:rPr>
        <w:t>，集系统、结构、服务、管理</w:t>
      </w:r>
      <w:r>
        <w:rPr>
          <w:rFonts w:hint="eastAsia"/>
          <w:sz w:val="28"/>
          <w:szCs w:val="28"/>
        </w:rPr>
        <w:t>等</w:t>
      </w:r>
      <w:r>
        <w:rPr>
          <w:sz w:val="28"/>
          <w:szCs w:val="28"/>
        </w:rPr>
        <w:t>为一体</w:t>
      </w:r>
      <w:r>
        <w:rPr>
          <w:rFonts w:hint="eastAsia"/>
          <w:sz w:val="28"/>
          <w:szCs w:val="28"/>
        </w:rPr>
        <w:t>，创造邻里单元内</w:t>
      </w:r>
      <w:r>
        <w:rPr>
          <w:sz w:val="28"/>
          <w:szCs w:val="28"/>
        </w:rPr>
        <w:t>高效、舒适、安全、便利、环保的居住环境。</w:t>
      </w:r>
    </w:p>
    <w:p w14:paraId="7E673773">
      <w:pPr>
        <w:pStyle w:val="47"/>
        <w:spacing w:line="552" w:lineRule="exact"/>
      </w:pPr>
      <w:r>
        <w:rPr>
          <w:rFonts w:hint="eastAsia"/>
        </w:rPr>
        <w:t>(三)智慧社区服务中心</w:t>
      </w:r>
    </w:p>
    <w:p w14:paraId="7F32F313">
      <w:pPr>
        <w:pStyle w:val="37"/>
        <w:spacing w:line="552" w:lineRule="exact"/>
        <w:ind w:firstLine="560"/>
        <w:rPr>
          <w:sz w:val="28"/>
          <w:szCs w:val="28"/>
        </w:rPr>
      </w:pPr>
      <w:r>
        <w:rPr>
          <w:rFonts w:hint="eastAsia"/>
          <w:sz w:val="28"/>
          <w:szCs w:val="28"/>
        </w:rPr>
        <w:t>在社区服务中心构建</w:t>
      </w:r>
      <w:r>
        <w:rPr>
          <w:sz w:val="28"/>
          <w:szCs w:val="28"/>
        </w:rPr>
        <w:t>市民信息服务平台，通过整合互联网、移动网络、物联网领域的新技术与新成果，构成一个完整的市民信息服务社区，并以此促进市民、机构、企业、政府之间的交互方式的转变。</w:t>
      </w:r>
    </w:p>
    <w:p w14:paraId="7332C8A8">
      <w:pPr>
        <w:pStyle w:val="47"/>
        <w:spacing w:line="552" w:lineRule="exact"/>
      </w:pPr>
      <w:r>
        <w:rPr>
          <w:rFonts w:hint="eastAsia"/>
        </w:rPr>
        <w:t>(四)智慧交通</w:t>
      </w:r>
    </w:p>
    <w:p w14:paraId="334DDE8B">
      <w:pPr>
        <w:pStyle w:val="47"/>
        <w:spacing w:line="552" w:lineRule="exact"/>
      </w:pPr>
      <w:r>
        <w:rPr>
          <w:rFonts w:hint="eastAsia"/>
        </w:rPr>
        <w:t>优先建立公共交通出行信息服务系统，主干路交叉口公交优先信号设置率达到100%；按照公交、出租车、公共自行车一卡通信息化服务标准</w:t>
      </w:r>
      <w:r>
        <w:t>建设相关设施</w:t>
      </w:r>
      <w:r>
        <w:rPr>
          <w:rFonts w:hint="eastAsia"/>
        </w:rPr>
        <w:t>；社会停车场、</w:t>
      </w:r>
      <w:r>
        <w:t>公共建筑停车场</w:t>
      </w:r>
      <w:r>
        <w:rPr>
          <w:rFonts w:hint="eastAsia"/>
        </w:rPr>
        <w:t>需</w:t>
      </w:r>
      <w:r>
        <w:t>配置</w:t>
      </w:r>
      <w:r>
        <w:rPr>
          <w:rFonts w:hint="eastAsia"/>
        </w:rPr>
        <w:t>智能停车诱导系统，居住</w:t>
      </w:r>
      <w:r>
        <w:t>邻里</w:t>
      </w:r>
      <w:r>
        <w:rPr>
          <w:rFonts w:hint="eastAsia"/>
        </w:rPr>
        <w:t>配建停车场建议配置智能停车诱导系统。</w:t>
      </w:r>
    </w:p>
    <w:p w14:paraId="726393ED">
      <w:pPr>
        <w:widowControl/>
        <w:spacing w:line="580" w:lineRule="exact"/>
        <w:jc w:val="left"/>
        <w:rPr>
          <w:rFonts w:ascii="黑体" w:hAnsi="黑体" w:eastAsia="黑体"/>
          <w:b/>
          <w:bCs/>
          <w:kern w:val="44"/>
          <w:sz w:val="36"/>
          <w:szCs w:val="36"/>
        </w:rPr>
      </w:pPr>
      <w:r>
        <w:rPr>
          <w:rFonts w:ascii="黑体" w:hAnsi="黑体" w:eastAsia="黑体"/>
          <w:sz w:val="36"/>
          <w:szCs w:val="36"/>
        </w:rPr>
        <w:br w:type="page"/>
      </w:r>
    </w:p>
    <w:p w14:paraId="25D5D670">
      <w:pPr>
        <w:pStyle w:val="2"/>
        <w:spacing w:before="0" w:after="0" w:line="580" w:lineRule="exact"/>
        <w:jc w:val="center"/>
        <w:rPr>
          <w:rFonts w:ascii="黑体" w:hAnsi="黑体" w:eastAsia="黑体"/>
          <w:sz w:val="36"/>
          <w:szCs w:val="36"/>
        </w:rPr>
      </w:pPr>
      <w:bookmarkStart w:id="137" w:name="_Toc528317061"/>
      <w:r>
        <w:rPr>
          <w:rFonts w:hint="eastAsia" w:ascii="黑体" w:hAnsi="黑体" w:eastAsia="黑体"/>
          <w:sz w:val="36"/>
          <w:szCs w:val="36"/>
        </w:rPr>
        <w:t>第十一章</w:t>
      </w:r>
      <w:r>
        <w:rPr>
          <w:rFonts w:ascii="黑体" w:hAnsi="黑体" w:eastAsia="黑体"/>
          <w:sz w:val="36"/>
          <w:szCs w:val="36"/>
        </w:rPr>
        <w:t xml:space="preserve">  </w:t>
      </w:r>
      <w:r>
        <w:rPr>
          <w:rFonts w:hint="eastAsia" w:ascii="黑体" w:hAnsi="黑体" w:eastAsia="黑体"/>
          <w:sz w:val="36"/>
          <w:szCs w:val="36"/>
        </w:rPr>
        <w:t>城市更新</w:t>
      </w:r>
      <w:bookmarkEnd w:id="137"/>
    </w:p>
    <w:p w14:paraId="1A677802">
      <w:pPr>
        <w:spacing w:line="580" w:lineRule="exact"/>
        <w:rPr>
          <w:rFonts w:ascii="宋体" w:hAnsi="宋体"/>
          <w:sz w:val="28"/>
          <w:szCs w:val="28"/>
        </w:rPr>
      </w:pPr>
    </w:p>
    <w:p w14:paraId="5D490C8A">
      <w:pPr>
        <w:pStyle w:val="44"/>
        <w:spacing w:line="580" w:lineRule="exact"/>
      </w:pPr>
      <w:r>
        <w:rPr>
          <w:rFonts w:hint="eastAsia"/>
        </w:rPr>
        <w:t>在复杂的自然环境下，山地城市更新要寻找适合自身的规律，结合地形，尊重现状，传承文化，采用小规模、小尺度、注重时序的渐进式更新模式，从而更好的适应山地城市的规划建设与管理。</w:t>
      </w:r>
    </w:p>
    <w:p w14:paraId="24874DE3">
      <w:pPr>
        <w:pStyle w:val="38"/>
        <w:numPr>
          <w:ilvl w:val="0"/>
          <w:numId w:val="13"/>
        </w:numPr>
        <w:spacing w:before="0" w:beforeLines="0" w:after="0" w:afterLines="0" w:line="580" w:lineRule="exact"/>
        <w:rPr>
          <w:rFonts w:ascii="黑体" w:hAnsi="黑体"/>
          <w:b/>
        </w:rPr>
      </w:pPr>
      <w:bookmarkStart w:id="138" w:name="_Toc528317062"/>
      <w:r>
        <w:rPr>
          <w:rFonts w:hint="eastAsia" w:ascii="黑体" w:hAnsi="黑体"/>
          <w:b/>
        </w:rPr>
        <w:t>更新策略</w:t>
      </w:r>
      <w:bookmarkEnd w:id="138"/>
    </w:p>
    <w:p w14:paraId="5DCBA720">
      <w:pPr>
        <w:pStyle w:val="44"/>
        <w:spacing w:line="580" w:lineRule="exact"/>
      </w:pPr>
      <w:r>
        <w:t>(</w:t>
      </w:r>
      <w:r>
        <w:rPr>
          <w:rFonts w:hint="eastAsia"/>
        </w:rPr>
        <w:t>一</w:t>
      </w:r>
      <w:r>
        <w:t>)</w:t>
      </w:r>
      <w:r>
        <w:rPr>
          <w:rFonts w:hint="eastAsia"/>
        </w:rPr>
        <w:t>旧城更新策略</w:t>
      </w:r>
    </w:p>
    <w:p w14:paraId="7F87836F">
      <w:pPr>
        <w:pStyle w:val="44"/>
        <w:spacing w:line="580" w:lineRule="exact"/>
      </w:pPr>
      <w:r>
        <w:rPr>
          <w:rFonts w:hint="eastAsia"/>
        </w:rPr>
        <w:t>陵川县城内，中部区域及北部的部分区域属旧城区域，用地狭促，建筑密集，历史文化丰富，但也存在路网密、红线窄，建筑高度</w:t>
      </w:r>
      <w:r>
        <w:t>10-20m</w:t>
      </w:r>
      <w:r>
        <w:rPr>
          <w:rFonts w:hint="eastAsia"/>
        </w:rPr>
        <w:t>，居住条件和交通条件均比较拥挤。该区域旧城改造难度大，更新重点应放在环境改善、文化保护等方面。</w:t>
      </w:r>
    </w:p>
    <w:p w14:paraId="3AAF9FCC">
      <w:pPr>
        <w:pStyle w:val="44"/>
        <w:spacing w:line="580" w:lineRule="exact"/>
      </w:pPr>
      <w:r>
        <w:t>(</w:t>
      </w:r>
      <w:r>
        <w:rPr>
          <w:rFonts w:hint="eastAsia"/>
        </w:rPr>
        <w:t>二</w:t>
      </w:r>
      <w:r>
        <w:t>)</w:t>
      </w:r>
      <w:r>
        <w:rPr>
          <w:rFonts w:hint="eastAsia"/>
        </w:rPr>
        <w:t>新区更新策略</w:t>
      </w:r>
    </w:p>
    <w:p w14:paraId="385364DC">
      <w:pPr>
        <w:pStyle w:val="44"/>
        <w:spacing w:line="580" w:lineRule="exact"/>
      </w:pPr>
      <w:r>
        <w:rPr>
          <w:rFonts w:hint="eastAsia"/>
        </w:rPr>
        <w:t>城区南部为近年发展起来的城市新区，由于建造水平与经济技术条件的提高，布局形态与建筑空间接近于平原城市，城市更新应集中在完善配套设施和社区重构等方面。</w:t>
      </w:r>
    </w:p>
    <w:p w14:paraId="373A0877">
      <w:pPr>
        <w:pStyle w:val="44"/>
        <w:spacing w:line="580" w:lineRule="exact"/>
      </w:pPr>
      <w:r>
        <w:t>(</w:t>
      </w:r>
      <w:r>
        <w:rPr>
          <w:rFonts w:hint="eastAsia"/>
        </w:rPr>
        <w:t>三</w:t>
      </w:r>
      <w:r>
        <w:t>)</w:t>
      </w:r>
      <w:r>
        <w:rPr>
          <w:rFonts w:hint="eastAsia"/>
        </w:rPr>
        <w:t>差异化更新</w:t>
      </w:r>
    </w:p>
    <w:p w14:paraId="33B9E26E">
      <w:pPr>
        <w:pStyle w:val="44"/>
        <w:spacing w:line="580" w:lineRule="exact"/>
      </w:pPr>
      <w:r>
        <w:rPr>
          <w:rFonts w:hint="eastAsia"/>
        </w:rPr>
        <w:t>山地城市不同组团的更新、新城与旧城的更新，应区别对待，突出差异化改造方式，对陵川县城中部城市公共中心、南部机遇区、北部复兴区，分别采用修缮、整治、重建为主等不同的更新模式。采用渐进的更新方式，有利于逐步缓解城区内居民日益增长的对居住条件的要求，同时也适应山地城市的空间环境特点。</w:t>
      </w:r>
    </w:p>
    <w:p w14:paraId="21E8621C">
      <w:pPr>
        <w:pStyle w:val="38"/>
        <w:numPr>
          <w:ilvl w:val="0"/>
          <w:numId w:val="13"/>
        </w:numPr>
        <w:spacing w:before="0" w:beforeLines="0" w:after="0" w:afterLines="0" w:line="580" w:lineRule="exact"/>
        <w:rPr>
          <w:rFonts w:ascii="黑体" w:hAnsi="黑体"/>
          <w:b/>
        </w:rPr>
      </w:pPr>
      <w:bookmarkStart w:id="139" w:name="_Toc528317063"/>
      <w:r>
        <w:rPr>
          <w:rFonts w:hint="eastAsia" w:ascii="黑体" w:hAnsi="黑体"/>
          <w:b/>
        </w:rPr>
        <w:t>更新方式</w:t>
      </w:r>
      <w:bookmarkEnd w:id="139"/>
    </w:p>
    <w:p w14:paraId="6AF2D88B">
      <w:pPr>
        <w:pStyle w:val="44"/>
        <w:spacing w:line="580" w:lineRule="exact"/>
      </w:pPr>
      <w:r>
        <w:rPr>
          <w:rFonts w:hint="eastAsia"/>
        </w:rPr>
        <w:t>山地城市建设用地分散、建筑密度高，有利于渐进式更新的试试，但也容易造成前后更新项目不协调的问题。因此，山地城市选择适合的更新方式尤为重要。</w:t>
      </w:r>
    </w:p>
    <w:p w14:paraId="2B62A2CA">
      <w:pPr>
        <w:pStyle w:val="44"/>
        <w:spacing w:line="580" w:lineRule="exact"/>
      </w:pPr>
      <w:r>
        <w:rPr>
          <w:rFonts w:hint="eastAsia"/>
        </w:rPr>
        <w:t>城市更新体现在不同的城市规划阶段，实现山地城市的渐进式更新，控规阶段是重要环节，通过土地使用控制、道路交通控制、山水风貌控制、发展时序控制，分项实现对建设活动的渐次引导。</w:t>
      </w:r>
    </w:p>
    <w:p w14:paraId="5177EC0E">
      <w:pPr>
        <w:pStyle w:val="44"/>
        <w:spacing w:line="580" w:lineRule="exact"/>
      </w:pPr>
      <w:r>
        <w:drawing>
          <wp:anchor distT="0" distB="0" distL="114300" distR="114300" simplePos="0" relativeHeight="251677696" behindDoc="1" locked="0" layoutInCell="1" allowOverlap="1">
            <wp:simplePos x="0" y="0"/>
            <wp:positionH relativeFrom="column">
              <wp:posOffset>-281305</wp:posOffset>
            </wp:positionH>
            <wp:positionV relativeFrom="paragraph">
              <wp:posOffset>38735</wp:posOffset>
            </wp:positionV>
            <wp:extent cx="6162675" cy="1508125"/>
            <wp:effectExtent l="19050" t="0" r="9525" b="0"/>
            <wp:wrapNone/>
            <wp:docPr id="2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
                    <pic:cNvPicPr>
                      <a:picLocks noChangeAspect="1" noChangeArrowheads="1"/>
                    </pic:cNvPicPr>
                  </pic:nvPicPr>
                  <pic:blipFill>
                    <a:blip r:embed="rId30" cstate="print"/>
                    <a:srcRect/>
                    <a:stretch>
                      <a:fillRect/>
                    </a:stretch>
                  </pic:blipFill>
                  <pic:spPr>
                    <a:xfrm>
                      <a:off x="0" y="0"/>
                      <a:ext cx="6162675" cy="1508125"/>
                    </a:xfrm>
                    <a:prstGeom prst="rect">
                      <a:avLst/>
                    </a:prstGeom>
                    <a:noFill/>
                    <a:ln w="9525">
                      <a:noFill/>
                      <a:miter lim="800000"/>
                      <a:headEnd/>
                      <a:tailEnd/>
                    </a:ln>
                  </pic:spPr>
                </pic:pic>
              </a:graphicData>
            </a:graphic>
          </wp:anchor>
        </w:drawing>
      </w:r>
    </w:p>
    <w:p w14:paraId="4CC0BE93">
      <w:pPr>
        <w:pStyle w:val="44"/>
        <w:spacing w:line="580" w:lineRule="exact"/>
      </w:pPr>
    </w:p>
    <w:p w14:paraId="18082153">
      <w:pPr>
        <w:pStyle w:val="44"/>
        <w:spacing w:line="580" w:lineRule="exact"/>
      </w:pPr>
    </w:p>
    <w:p w14:paraId="231DA6E0">
      <w:pPr>
        <w:pStyle w:val="44"/>
        <w:spacing w:line="580" w:lineRule="exact"/>
      </w:pPr>
    </w:p>
    <w:p w14:paraId="7D4C8BF6">
      <w:pPr>
        <w:pStyle w:val="44"/>
        <w:spacing w:line="580" w:lineRule="exact"/>
      </w:pPr>
    </w:p>
    <w:p w14:paraId="4CB9B365">
      <w:pPr>
        <w:pStyle w:val="44"/>
        <w:spacing w:line="580" w:lineRule="exact"/>
      </w:pPr>
      <w:r>
        <w:t>(</w:t>
      </w:r>
      <w:r>
        <w:rPr>
          <w:rFonts w:hint="eastAsia"/>
        </w:rPr>
        <w:t>一</w:t>
      </w:r>
      <w:r>
        <w:t>)</w:t>
      </w:r>
      <w:r>
        <w:rPr>
          <w:rFonts w:hint="eastAsia"/>
        </w:rPr>
        <w:t>刚柔并济——</w:t>
      </w:r>
    </w:p>
    <w:p w14:paraId="210AA016">
      <w:pPr>
        <w:pStyle w:val="44"/>
        <w:spacing w:line="580" w:lineRule="exact"/>
      </w:pPr>
      <w:r>
        <w:rPr>
          <w:rFonts w:hint="eastAsia"/>
        </w:rPr>
        <w:t>土地使用弹性与刚性结合，提高更新质量</w:t>
      </w:r>
    </w:p>
    <w:p w14:paraId="40A2E23B">
      <w:pPr>
        <w:pStyle w:val="44"/>
        <w:spacing w:line="580" w:lineRule="exact"/>
      </w:pPr>
      <w:r>
        <w:rPr>
          <w:rFonts w:hint="eastAsia"/>
        </w:rPr>
        <w:t>城市土地使用性质与强度控制是控制性详细规划的核心内容，也是山地城市实施渐进式更新的重要手段。在控制性详细规划编制中，通过确定土地使用的兼容性及设置开发强度上限，为城市更新提供法定规划依据，其前者是弹性控制、后者是刚性控制；陵川的在城市更新过程中，根据社会经济变化及地块出让情况，对土地使用可进行“控规维护”或“调规”，确保更新的渐次实施有规可依。在有限的土地资源下，高密度是山地城市建设的一个重要特点，但这并不代表山地城市所有区域都需要高密度建设。因此，中部旧城及各片区服务中心的建筑强度与建筑密度普遍高于其他地区，土地使用强度具有一定的弹性；本次规划从时间维度对未来预测所必须预留出的发展空间进行动态维护，陵川控规不规定“能怎么建”来对各项指标进行控制，而通过制定“禁止怎么建”来规定。</w:t>
      </w:r>
    </w:p>
    <w:p w14:paraId="59FCC43F">
      <w:pPr>
        <w:pStyle w:val="44"/>
        <w:spacing w:line="580" w:lineRule="exact"/>
      </w:pPr>
      <w:r>
        <w:rPr>
          <w:rFonts w:hint="eastAsia"/>
        </w:rPr>
        <w:t>根据绿地空间、基础设施、公服设施等刚性需求的相互关系，对更新的底线做出规定，形成指标体系的“刚性边界”，如极限容积率、建筑最高点限制等刚性边界内，再根据更新区域内的居民生活习惯、现状生活需求、未来发展潜力等进行分析，将其与城市设计结合起来，通过规划“城市设计导则”对其进行弹性的引导，实现刚柔并济，使控规能在一定的限制内发挥其最大的灵活性。</w:t>
      </w:r>
    </w:p>
    <w:p w14:paraId="4B9D2731">
      <w:pPr>
        <w:pStyle w:val="44"/>
        <w:spacing w:line="580" w:lineRule="exact"/>
      </w:pPr>
      <w:r>
        <w:t>(</w:t>
      </w:r>
      <w:r>
        <w:rPr>
          <w:rFonts w:hint="eastAsia"/>
        </w:rPr>
        <w:t>二</w:t>
      </w:r>
      <w:r>
        <w:t>)</w:t>
      </w:r>
      <w:r>
        <w:rPr>
          <w:rFonts w:hint="eastAsia"/>
        </w:rPr>
        <w:t>多维控制——</w:t>
      </w:r>
    </w:p>
    <w:p w14:paraId="272EF6B1">
      <w:pPr>
        <w:pStyle w:val="44"/>
        <w:spacing w:line="580" w:lineRule="exact"/>
      </w:pPr>
      <w:r>
        <w:rPr>
          <w:rFonts w:hint="eastAsia"/>
        </w:rPr>
        <w:drawing>
          <wp:anchor distT="0" distB="0" distL="114300" distR="114300" simplePos="0" relativeHeight="251678720" behindDoc="0" locked="0" layoutInCell="1" allowOverlap="1">
            <wp:simplePos x="0" y="0"/>
            <wp:positionH relativeFrom="column">
              <wp:posOffset>3475355</wp:posOffset>
            </wp:positionH>
            <wp:positionV relativeFrom="paragraph">
              <wp:posOffset>170815</wp:posOffset>
            </wp:positionV>
            <wp:extent cx="2381250" cy="2400300"/>
            <wp:effectExtent l="19050" t="0" r="0" b="0"/>
            <wp:wrapSquare wrapText="bothSides"/>
            <wp:docPr id="2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4"/>
                    <pic:cNvPicPr>
                      <a:picLocks noChangeAspect="1" noChangeArrowheads="1"/>
                    </pic:cNvPicPr>
                  </pic:nvPicPr>
                  <pic:blipFill>
                    <a:blip r:embed="rId31" cstate="print"/>
                    <a:srcRect/>
                    <a:stretch>
                      <a:fillRect/>
                    </a:stretch>
                  </pic:blipFill>
                  <pic:spPr>
                    <a:xfrm>
                      <a:off x="0" y="0"/>
                      <a:ext cx="2381250" cy="2400300"/>
                    </a:xfrm>
                    <a:prstGeom prst="rect">
                      <a:avLst/>
                    </a:prstGeom>
                    <a:noFill/>
                    <a:ln w="9525">
                      <a:noFill/>
                      <a:miter lim="800000"/>
                      <a:headEnd/>
                      <a:tailEnd/>
                    </a:ln>
                  </pic:spPr>
                </pic:pic>
              </a:graphicData>
            </a:graphic>
          </wp:anchor>
        </w:drawing>
      </w:r>
      <w:r>
        <w:rPr>
          <w:rFonts w:hint="eastAsia"/>
        </w:rPr>
        <w:t>完善交通组织打破通达性限制</w:t>
      </w:r>
    </w:p>
    <w:p w14:paraId="7A698495">
      <w:pPr>
        <w:pStyle w:val="44"/>
        <w:spacing w:line="580" w:lineRule="exact"/>
      </w:pPr>
      <w:r>
        <w:rPr>
          <w:rFonts w:hint="eastAsia"/>
        </w:rPr>
        <w:t>陵川县城的道路交通在平面上常常受到地形的限制，控规阶段的城市更新，应强调道路功能和资源的竖向整合，形成多种交通形式成网，增加步行梯道补充路网密度，弥补车行道路的不足，提高城市空间的可达性，完成空间的纵向连接，因此垂直山体的山城步道网络，在居民日常出行中发挥着重要作用，城市更新中不能随意拆除或废弃。</w:t>
      </w:r>
    </w:p>
    <w:p w14:paraId="1E99800F">
      <w:pPr>
        <w:pStyle w:val="44"/>
        <w:spacing w:line="580" w:lineRule="exact"/>
      </w:pPr>
      <w:r>
        <w:rPr>
          <w:rFonts w:hint="eastAsia"/>
        </w:rPr>
        <w:t>道路网络方面，陵川县城的网络形态及密度受制于地形条件与现状建筑布局，在更新中应注重主干路网的构建，对支路及步行路不应进行大的改变，而是应该充分尊重路网发展的历史与现状，保证城市骨架的相对固定；对地形相对复杂的南岭区域，可适当增加道路、提高路网密度，通过建设隧道、桥梁打通城市的山水阻隔瓶颈。</w:t>
      </w:r>
    </w:p>
    <w:p w14:paraId="372A3900">
      <w:pPr>
        <w:pStyle w:val="44"/>
        <w:spacing w:line="580" w:lineRule="exact"/>
      </w:pPr>
      <w:r>
        <w:rPr>
          <w:rFonts w:hint="eastAsia"/>
        </w:rPr>
        <w:t>道路线形方面，陵川车行道路多平行等高线布局，确需对个别狭窄路段、交通拥堵严重路段进行更新改造，需要科学论证后，进行有条件的更新改善。</w:t>
      </w:r>
    </w:p>
    <w:p w14:paraId="4212945A">
      <w:pPr>
        <w:pStyle w:val="44"/>
        <w:spacing w:line="580" w:lineRule="exact"/>
      </w:pPr>
      <w:r>
        <w:t>(</w:t>
      </w:r>
      <w:r>
        <w:rPr>
          <w:rFonts w:hint="eastAsia"/>
        </w:rPr>
        <w:t>三</w:t>
      </w:r>
      <w:r>
        <w:t>)</w:t>
      </w:r>
      <w:r>
        <w:rPr>
          <w:rFonts w:hint="eastAsia"/>
        </w:rPr>
        <w:t>虚实结合——景观控制再现山地特色</w:t>
      </w:r>
    </w:p>
    <w:p w14:paraId="2E252FC4">
      <w:pPr>
        <w:pStyle w:val="44"/>
        <w:spacing w:line="580" w:lineRule="exact"/>
      </w:pPr>
      <w:r>
        <w:rPr>
          <w:rFonts w:hint="eastAsia"/>
        </w:rPr>
        <w:t>相比于平原城市，陵川县城具有立体变化丰富的景观风貌，其实体景观风貌控制可以分为生态区域建设控制、建筑高度控制和视线通廊控制三方面。首先，确保陵川自然生态环境得到有效保护，以体现山水景观特色，通过控规划定的蓝线、绿线控制，明确山体控制边界线以及水体控制边界线，实施严格的保护；其次，考虑现状文物保护单位、历史建筑高度以及视线通廊要求和对山脊线的遮挡关系等要素，进行建筑高度的分区管控，确保城市景观风貌的整体协调；第三，由点串线构建视线通廊，山体制高点、历史文化纪念点、开敞空间核心点等，通过视线通廊串联成一条虚线，以实现通廊的连续性。</w:t>
      </w:r>
    </w:p>
    <w:p w14:paraId="0E6082C0">
      <w:pPr>
        <w:pStyle w:val="44"/>
        <w:spacing w:line="580" w:lineRule="exact"/>
      </w:pPr>
      <w:r>
        <w:rPr>
          <w:rFonts w:hint="eastAsia"/>
        </w:rPr>
        <w:t>城市文化、城市记忆在精神上为人们营建虚拟的场所，将城市实体景观及空间作为载体，呈现在城市的角落；本次规划在城市文化轴线上，通过控制历史建筑周边的建筑物后退，形成明晰的空间与步行环境；下一层次设计时，应注重利用山地城市特有的角落空间、零碎空间，结合周围的地形以及自然生长的绿植，加以设计和改造，形成散点式的小型文化公园，为居民的日常交往提供足够的活动空间，以传播城市精神。</w:t>
      </w:r>
    </w:p>
    <w:p w14:paraId="4A2FBCA9">
      <w:pPr>
        <w:pStyle w:val="44"/>
        <w:spacing w:line="580" w:lineRule="exact"/>
      </w:pPr>
      <w:r>
        <w:t>(</w:t>
      </w:r>
      <w:r>
        <w:rPr>
          <w:rFonts w:hint="eastAsia"/>
        </w:rPr>
        <w:t>四</w:t>
      </w:r>
      <w:r>
        <w:t>)</w:t>
      </w:r>
      <w:r>
        <w:rPr>
          <w:rFonts w:hint="eastAsia"/>
        </w:rPr>
        <w:t>时序引导——分期实施城市更新</w:t>
      </w:r>
    </w:p>
    <w:p w14:paraId="79ABFD1B">
      <w:pPr>
        <w:pStyle w:val="44"/>
        <w:spacing w:line="580" w:lineRule="exact"/>
      </w:pPr>
      <w:r>
        <w:rPr>
          <w:rFonts w:hint="eastAsia"/>
        </w:rPr>
        <w:t>陵川的城市更新需逐步、逐片实施，因此时间维度是一个重点考虑因素，不仅针对单一控规的分期实施，也包含了城市各分片控制性详细规划的协调与分步实施。</w:t>
      </w:r>
    </w:p>
    <w:p w14:paraId="4689F403">
      <w:pPr>
        <w:spacing w:line="580" w:lineRule="exact"/>
        <w:rPr>
          <w:rFonts w:ascii="宋体" w:hAnsi="宋体"/>
          <w:sz w:val="28"/>
          <w:szCs w:val="28"/>
        </w:rPr>
      </w:pPr>
      <w:r>
        <w:rPr>
          <w:rFonts w:hint="eastAsia"/>
          <w:sz w:val="28"/>
          <w:szCs w:val="28"/>
        </w:rPr>
        <w:t>在控规中划定紫线、绿线等控制保护区，并将其相邻街区作为协调保护区，将其作为更新中的一部分，保留原貌，并于更新外的区域保持柔和的衔接，即更新的“保护”方法在具体实施更新是，应根据各更新区段的施工难易程度、居民拆迁量、安置方案、更新后对城市的价值提升程度等进行叠加分析，在更新过程中可以根据更新实施的效果和出现的问题对开发时序进行调适，以提升更新效率，即更新中的 “整治改善”方法结合更新地段的环境容纳量在控规中作出功能定位和规模划定，保留出一定的预控街道和防灾空间，使更新的控制过程更加具有弹性，以应对山地城市复杂的发展状况，即更新中的“再开发”方法。</w:t>
      </w:r>
    </w:p>
    <w:p w14:paraId="1CAB7BE1">
      <w:pPr>
        <w:spacing w:line="580" w:lineRule="exact"/>
        <w:rPr>
          <w:rFonts w:ascii="宋体" w:hAnsi="宋体"/>
          <w:sz w:val="28"/>
          <w:szCs w:val="28"/>
        </w:rPr>
      </w:pPr>
    </w:p>
    <w:p w14:paraId="2890E978">
      <w:pPr>
        <w:spacing w:line="580" w:lineRule="exact"/>
        <w:rPr>
          <w:rFonts w:ascii="宋体" w:hAnsi="宋体"/>
          <w:sz w:val="28"/>
          <w:szCs w:val="28"/>
        </w:rPr>
      </w:pPr>
    </w:p>
    <w:p w14:paraId="7B858BA2">
      <w:pPr>
        <w:spacing w:line="580" w:lineRule="exact"/>
        <w:rPr>
          <w:rFonts w:ascii="宋体" w:hAnsi="宋体"/>
          <w:sz w:val="28"/>
          <w:szCs w:val="28"/>
        </w:rPr>
      </w:pPr>
    </w:p>
    <w:p w14:paraId="13881712">
      <w:pPr>
        <w:spacing w:line="580" w:lineRule="exact"/>
        <w:rPr>
          <w:rFonts w:ascii="宋体" w:hAnsi="宋体"/>
          <w:sz w:val="28"/>
          <w:szCs w:val="28"/>
        </w:rPr>
      </w:pPr>
    </w:p>
    <w:p w14:paraId="15790594">
      <w:pPr>
        <w:spacing w:line="580" w:lineRule="exact"/>
        <w:rPr>
          <w:rFonts w:ascii="宋体" w:hAnsi="宋体"/>
          <w:sz w:val="28"/>
          <w:szCs w:val="28"/>
        </w:rPr>
      </w:pPr>
    </w:p>
    <w:p w14:paraId="049750AC">
      <w:pPr>
        <w:spacing w:line="580" w:lineRule="exact"/>
        <w:rPr>
          <w:rFonts w:hint="eastAsia" w:ascii="宋体" w:hAnsi="宋体"/>
          <w:sz w:val="28"/>
          <w:szCs w:val="28"/>
        </w:rPr>
      </w:pPr>
    </w:p>
    <w:p w14:paraId="3514A580">
      <w:pPr>
        <w:spacing w:line="580" w:lineRule="exact"/>
        <w:rPr>
          <w:rFonts w:ascii="宋体" w:hAnsi="宋体"/>
          <w:sz w:val="28"/>
          <w:szCs w:val="28"/>
        </w:rPr>
      </w:pPr>
    </w:p>
    <w:p w14:paraId="31F5EEB1">
      <w:pPr>
        <w:spacing w:line="580" w:lineRule="exact"/>
        <w:rPr>
          <w:rFonts w:ascii="宋体" w:hAnsi="宋体"/>
          <w:sz w:val="28"/>
          <w:szCs w:val="28"/>
        </w:rPr>
      </w:pPr>
    </w:p>
    <w:p w14:paraId="122431C2">
      <w:pPr>
        <w:spacing w:line="580" w:lineRule="exact"/>
        <w:rPr>
          <w:rFonts w:ascii="宋体" w:hAnsi="宋体"/>
          <w:sz w:val="28"/>
          <w:szCs w:val="28"/>
        </w:rPr>
      </w:pPr>
    </w:p>
    <w:p w14:paraId="6C6D432A">
      <w:pPr>
        <w:pStyle w:val="2"/>
        <w:spacing w:before="0" w:after="0" w:line="580" w:lineRule="exact"/>
        <w:jc w:val="center"/>
        <w:rPr>
          <w:rFonts w:ascii="黑体" w:hAnsi="黑体" w:eastAsia="黑体"/>
          <w:sz w:val="36"/>
          <w:szCs w:val="36"/>
        </w:rPr>
      </w:pPr>
      <w:bookmarkStart w:id="140" w:name="_Toc528317064"/>
      <w:bookmarkStart w:id="141" w:name="_Toc441215010"/>
      <w:r>
        <w:rPr>
          <w:rFonts w:hint="eastAsia" w:ascii="黑体" w:hAnsi="黑体" w:eastAsia="黑体"/>
          <w:sz w:val="36"/>
          <w:szCs w:val="36"/>
        </w:rPr>
        <w:t xml:space="preserve">第十二章 </w:t>
      </w:r>
      <w:r>
        <w:rPr>
          <w:rFonts w:ascii="黑体" w:hAnsi="黑体" w:eastAsia="黑体"/>
          <w:sz w:val="36"/>
          <w:szCs w:val="36"/>
        </w:rPr>
        <w:t xml:space="preserve"> </w:t>
      </w:r>
      <w:r>
        <w:rPr>
          <w:rFonts w:hint="eastAsia" w:ascii="黑体" w:hAnsi="黑体" w:eastAsia="黑体"/>
          <w:sz w:val="36"/>
          <w:szCs w:val="36"/>
        </w:rPr>
        <w:t>规划控制与管理</w:t>
      </w:r>
      <w:bookmarkEnd w:id="140"/>
      <w:bookmarkEnd w:id="141"/>
    </w:p>
    <w:p w14:paraId="4BA63CFA">
      <w:pPr>
        <w:pStyle w:val="47"/>
        <w:spacing w:line="580" w:lineRule="exact"/>
      </w:pPr>
      <w:bookmarkStart w:id="142" w:name="_Toc22519"/>
      <w:bookmarkStart w:id="143" w:name="_Toc441215011"/>
    </w:p>
    <w:p w14:paraId="25F2879A">
      <w:pPr>
        <w:pStyle w:val="38"/>
        <w:numPr>
          <w:ilvl w:val="0"/>
          <w:numId w:val="14"/>
        </w:numPr>
        <w:spacing w:before="0" w:beforeLines="0" w:after="0" w:afterLines="0" w:line="580" w:lineRule="exact"/>
        <w:rPr>
          <w:rFonts w:ascii="黑体" w:hAnsi="黑体"/>
          <w:b/>
        </w:rPr>
      </w:pPr>
      <w:bookmarkStart w:id="144" w:name="_Toc528317065"/>
      <w:r>
        <w:rPr>
          <w:rFonts w:hint="eastAsia" w:ascii="黑体" w:hAnsi="黑体"/>
          <w:b/>
        </w:rPr>
        <w:t>规划</w:t>
      </w:r>
      <w:r>
        <w:rPr>
          <w:rFonts w:ascii="黑体" w:hAnsi="黑体"/>
          <w:b/>
        </w:rPr>
        <w:t>控制体系</w:t>
      </w:r>
      <w:bookmarkEnd w:id="142"/>
      <w:bookmarkEnd w:id="143"/>
      <w:bookmarkEnd w:id="144"/>
    </w:p>
    <w:p w14:paraId="4476DCCE">
      <w:pPr>
        <w:pStyle w:val="37"/>
        <w:spacing w:line="580" w:lineRule="exact"/>
        <w:ind w:firstLine="560"/>
        <w:rPr>
          <w:sz w:val="28"/>
          <w:szCs w:val="28"/>
        </w:rPr>
      </w:pPr>
      <w:r>
        <w:rPr>
          <w:rFonts w:hint="eastAsia"/>
          <w:sz w:val="28"/>
          <w:szCs w:val="28"/>
        </w:rPr>
        <w:t>市空间形态的形成，是以用地规划控制体系的构建为前提的。该体系的构建，为控规层面城市空间形态的控制提供技术支撑。</w:t>
      </w:r>
    </w:p>
    <w:p w14:paraId="68B75AC9">
      <w:pPr>
        <w:pStyle w:val="37"/>
        <w:spacing w:line="580" w:lineRule="exact"/>
        <w:ind w:firstLine="560"/>
        <w:rPr>
          <w:sz w:val="28"/>
          <w:szCs w:val="28"/>
        </w:rPr>
      </w:pPr>
      <w:r>
        <w:rPr>
          <w:rFonts w:hint="eastAsia"/>
          <w:sz w:val="28"/>
          <w:szCs w:val="28"/>
        </w:rPr>
        <w:t>据</w:t>
      </w:r>
      <w:r>
        <w:rPr>
          <w:sz w:val="28"/>
          <w:szCs w:val="28"/>
        </w:rPr>
        <w:t>总体规划确定</w:t>
      </w:r>
      <w:r>
        <w:rPr>
          <w:rFonts w:hint="eastAsia"/>
          <w:sz w:val="28"/>
          <w:szCs w:val="28"/>
        </w:rPr>
        <w:t>的</w:t>
      </w:r>
      <w:r>
        <w:rPr>
          <w:sz w:val="28"/>
          <w:szCs w:val="28"/>
        </w:rPr>
        <w:t xml:space="preserve"> “</w:t>
      </w:r>
      <w:r>
        <w:rPr>
          <w:rFonts w:hint="eastAsia"/>
          <w:kern w:val="1"/>
          <w:sz w:val="28"/>
          <w:szCs w:val="28"/>
        </w:rPr>
        <w:t>一心、两轴、四片区</w:t>
      </w:r>
      <w:r>
        <w:rPr>
          <w:sz w:val="28"/>
          <w:szCs w:val="28"/>
        </w:rPr>
        <w:t>”</w:t>
      </w:r>
      <w:r>
        <w:rPr>
          <w:rFonts w:hint="eastAsia"/>
          <w:sz w:val="28"/>
          <w:szCs w:val="28"/>
        </w:rPr>
        <w:t>的</w:t>
      </w:r>
      <w:r>
        <w:rPr>
          <w:sz w:val="28"/>
          <w:szCs w:val="28"/>
        </w:rPr>
        <w:t>空间结构和功能分区</w:t>
      </w:r>
      <w:r>
        <w:rPr>
          <w:rFonts w:hint="eastAsia"/>
          <w:sz w:val="28"/>
          <w:szCs w:val="28"/>
        </w:rPr>
        <w:t>，本次控规按照</w:t>
      </w:r>
      <w:r>
        <w:rPr>
          <w:sz w:val="28"/>
          <w:szCs w:val="28"/>
        </w:rPr>
        <w:t xml:space="preserve"> “</w:t>
      </w:r>
      <w:r>
        <w:rPr>
          <w:rFonts w:hint="eastAsia"/>
          <w:sz w:val="28"/>
          <w:szCs w:val="28"/>
        </w:rPr>
        <w:t>系统</w:t>
      </w:r>
      <w:r>
        <w:rPr>
          <w:sz w:val="28"/>
          <w:szCs w:val="28"/>
        </w:rPr>
        <w:t>控制-地块控制”</w:t>
      </w:r>
      <w:r>
        <w:rPr>
          <w:rFonts w:hint="eastAsia"/>
          <w:sz w:val="28"/>
          <w:szCs w:val="28"/>
        </w:rPr>
        <w:t>二级</w:t>
      </w:r>
      <w:r>
        <w:rPr>
          <w:sz w:val="28"/>
          <w:szCs w:val="28"/>
        </w:rPr>
        <w:t>体系</w:t>
      </w:r>
      <w:r>
        <w:rPr>
          <w:rFonts w:hint="eastAsia"/>
          <w:sz w:val="28"/>
          <w:szCs w:val="28"/>
        </w:rPr>
        <w:t>进行</w:t>
      </w:r>
      <w:r>
        <w:rPr>
          <w:sz w:val="28"/>
          <w:szCs w:val="28"/>
        </w:rPr>
        <w:t>规划控制</w:t>
      </w:r>
      <w:r>
        <w:rPr>
          <w:rFonts w:hint="eastAsia"/>
          <w:sz w:val="28"/>
          <w:szCs w:val="28"/>
        </w:rPr>
        <w:t>和</w:t>
      </w:r>
      <w:r>
        <w:rPr>
          <w:sz w:val="28"/>
          <w:szCs w:val="28"/>
        </w:rPr>
        <w:t>管理</w:t>
      </w:r>
      <w:r>
        <w:rPr>
          <w:rFonts w:hint="eastAsia"/>
          <w:sz w:val="28"/>
          <w:szCs w:val="28"/>
        </w:rPr>
        <w:t>。</w:t>
      </w:r>
    </w:p>
    <w:p w14:paraId="346ABE12">
      <w:pPr>
        <w:pStyle w:val="47"/>
        <w:spacing w:line="580" w:lineRule="exact"/>
      </w:pPr>
      <w:r>
        <w:rPr>
          <w:rFonts w:hint="eastAsia"/>
        </w:rPr>
        <w:t>(一)系统控制</w:t>
      </w:r>
    </w:p>
    <w:p w14:paraId="2029C98F">
      <w:pPr>
        <w:pStyle w:val="37"/>
        <w:spacing w:line="580" w:lineRule="exact"/>
        <w:ind w:firstLine="560"/>
        <w:rPr>
          <w:sz w:val="28"/>
          <w:szCs w:val="28"/>
        </w:rPr>
      </w:pPr>
      <w:r>
        <w:rPr>
          <w:rFonts w:hint="eastAsia"/>
          <w:sz w:val="28"/>
          <w:szCs w:val="28"/>
        </w:rPr>
        <w:t>1、六线控制</w:t>
      </w:r>
    </w:p>
    <w:p w14:paraId="632679EA">
      <w:pPr>
        <w:pStyle w:val="37"/>
        <w:spacing w:line="580" w:lineRule="exact"/>
        <w:ind w:firstLine="560"/>
        <w:rPr>
          <w:sz w:val="28"/>
          <w:szCs w:val="28"/>
        </w:rPr>
      </w:pPr>
      <w:r>
        <w:rPr>
          <w:rFonts w:hint="eastAsia"/>
          <w:sz w:val="28"/>
          <w:szCs w:val="28"/>
        </w:rPr>
        <w:t>包括城市红线、绿线、黄线、橙线、紫线、蓝线</w:t>
      </w:r>
    </w:p>
    <w:p w14:paraId="09AC87DA">
      <w:pPr>
        <w:pStyle w:val="37"/>
        <w:spacing w:line="580" w:lineRule="exact"/>
        <w:ind w:firstLine="560"/>
        <w:rPr>
          <w:sz w:val="28"/>
          <w:szCs w:val="28"/>
        </w:rPr>
      </w:pPr>
      <w:r>
        <w:rPr>
          <w:rFonts w:hint="eastAsia"/>
          <w:sz w:val="28"/>
          <w:szCs w:val="28"/>
        </w:rPr>
        <w:t>1）红线控制</w:t>
      </w:r>
    </w:p>
    <w:p w14:paraId="044DB293">
      <w:pPr>
        <w:pStyle w:val="37"/>
        <w:spacing w:line="580" w:lineRule="exact"/>
        <w:ind w:firstLine="560"/>
        <w:rPr>
          <w:sz w:val="28"/>
          <w:szCs w:val="28"/>
        </w:rPr>
      </w:pPr>
      <w:r>
        <w:rPr>
          <w:rFonts w:hint="eastAsia"/>
          <w:sz w:val="28"/>
          <w:szCs w:val="28"/>
        </w:rPr>
        <w:t>规划</w:t>
      </w:r>
      <w:r>
        <w:rPr>
          <w:sz w:val="28"/>
          <w:szCs w:val="28"/>
        </w:rPr>
        <w:t>确定的红线包括</w:t>
      </w:r>
      <w:r>
        <w:rPr>
          <w:rFonts w:hint="eastAsia"/>
          <w:sz w:val="28"/>
          <w:szCs w:val="28"/>
        </w:rPr>
        <w:t>外环路、主干路、次干路、支路。</w:t>
      </w:r>
    </w:p>
    <w:p w14:paraId="167A48AB">
      <w:pPr>
        <w:pStyle w:val="37"/>
        <w:spacing w:line="580" w:lineRule="exact"/>
        <w:ind w:firstLine="560"/>
        <w:rPr>
          <w:sz w:val="28"/>
          <w:szCs w:val="28"/>
        </w:rPr>
      </w:pPr>
      <w:r>
        <w:rPr>
          <w:rFonts w:hint="eastAsia"/>
          <w:sz w:val="28"/>
          <w:szCs w:val="28"/>
        </w:rPr>
        <w:t>红线采用实线控制</w:t>
      </w:r>
      <w:r>
        <w:rPr>
          <w:sz w:val="28"/>
          <w:szCs w:val="28"/>
        </w:rPr>
        <w:t>和虚线控制两种控制方法。</w:t>
      </w:r>
      <w:r>
        <w:rPr>
          <w:rFonts w:hint="eastAsia"/>
          <w:sz w:val="28"/>
          <w:szCs w:val="28"/>
        </w:rPr>
        <w:t>实线道路为规划强制性要求的道路，包括外环路、主干路、次干路和主要支路，实线控制的道路红线宽度和走向不允许改变。虚线控制的道路为步行道路，可以根据开发建设情况适当调整位置。陵川县规划管理</w:t>
      </w:r>
      <w:r>
        <w:rPr>
          <w:sz w:val="28"/>
          <w:szCs w:val="28"/>
        </w:rPr>
        <w:t>机构</w:t>
      </w:r>
      <w:r>
        <w:rPr>
          <w:rFonts w:hint="eastAsia"/>
          <w:sz w:val="28"/>
          <w:szCs w:val="28"/>
        </w:rPr>
        <w:t>可依据实际需要，在地块内增设支路。</w:t>
      </w:r>
    </w:p>
    <w:p w14:paraId="1673D2F6">
      <w:pPr>
        <w:pStyle w:val="37"/>
        <w:spacing w:line="580" w:lineRule="exact"/>
        <w:ind w:firstLine="560"/>
        <w:rPr>
          <w:sz w:val="28"/>
          <w:szCs w:val="28"/>
        </w:rPr>
      </w:pPr>
      <w:r>
        <w:rPr>
          <w:rFonts w:hint="eastAsia"/>
          <w:sz w:val="28"/>
          <w:szCs w:val="28"/>
        </w:rPr>
        <w:t>2）绿线控制</w:t>
      </w:r>
    </w:p>
    <w:p w14:paraId="03A7ADB5">
      <w:pPr>
        <w:pStyle w:val="37"/>
        <w:spacing w:line="580" w:lineRule="exact"/>
        <w:ind w:firstLine="560"/>
        <w:rPr>
          <w:sz w:val="28"/>
          <w:szCs w:val="28"/>
        </w:rPr>
      </w:pPr>
      <w:r>
        <w:rPr>
          <w:rFonts w:hint="eastAsia"/>
          <w:sz w:val="28"/>
          <w:szCs w:val="28"/>
        </w:rPr>
        <w:t>规划</w:t>
      </w:r>
      <w:r>
        <w:rPr>
          <w:sz w:val="28"/>
          <w:szCs w:val="28"/>
        </w:rPr>
        <w:t>控制的</w:t>
      </w:r>
      <w:r>
        <w:rPr>
          <w:rFonts w:hint="eastAsia"/>
          <w:sz w:val="28"/>
          <w:szCs w:val="28"/>
        </w:rPr>
        <w:t>绿线包括公园绿地、防护绿地以及广场用地。</w:t>
      </w:r>
    </w:p>
    <w:p w14:paraId="389807D8">
      <w:pPr>
        <w:pStyle w:val="37"/>
        <w:spacing w:line="580" w:lineRule="exact"/>
        <w:ind w:firstLine="560"/>
        <w:rPr>
          <w:sz w:val="28"/>
          <w:szCs w:val="28"/>
        </w:rPr>
      </w:pPr>
      <w:r>
        <w:rPr>
          <w:rFonts w:hint="eastAsia"/>
          <w:sz w:val="28"/>
          <w:szCs w:val="28"/>
        </w:rPr>
        <w:t>绿线控制均为实线控制。实线控制的绿地在开发建设中不允许改变位置及规模。</w:t>
      </w:r>
    </w:p>
    <w:p w14:paraId="7C77AD51">
      <w:pPr>
        <w:pStyle w:val="37"/>
        <w:spacing w:line="580" w:lineRule="exact"/>
        <w:ind w:firstLine="560"/>
        <w:rPr>
          <w:sz w:val="28"/>
          <w:szCs w:val="28"/>
        </w:rPr>
      </w:pPr>
      <w:r>
        <w:rPr>
          <w:sz w:val="28"/>
          <w:szCs w:val="28"/>
        </w:rPr>
        <w:t>各类绿地位置、范围、面积等详见图纸及分图则。对城市绿线的管理要严格按照《城市绿线管理办法》执行。</w:t>
      </w:r>
    </w:p>
    <w:p w14:paraId="32F61932">
      <w:pPr>
        <w:pStyle w:val="37"/>
        <w:spacing w:line="580" w:lineRule="exact"/>
        <w:ind w:firstLine="560"/>
        <w:rPr>
          <w:sz w:val="28"/>
          <w:szCs w:val="28"/>
        </w:rPr>
      </w:pPr>
      <w:r>
        <w:rPr>
          <w:rFonts w:hint="eastAsia"/>
          <w:sz w:val="28"/>
          <w:szCs w:val="28"/>
        </w:rPr>
        <w:t>3）黄线</w:t>
      </w:r>
      <w:r>
        <w:rPr>
          <w:sz w:val="28"/>
          <w:szCs w:val="28"/>
        </w:rPr>
        <w:t>控制</w:t>
      </w:r>
    </w:p>
    <w:p w14:paraId="0033FF61">
      <w:pPr>
        <w:pStyle w:val="37"/>
        <w:spacing w:line="580" w:lineRule="exact"/>
        <w:ind w:firstLine="560"/>
        <w:rPr>
          <w:sz w:val="28"/>
          <w:szCs w:val="28"/>
        </w:rPr>
      </w:pPr>
      <w:r>
        <w:rPr>
          <w:rFonts w:hint="eastAsia"/>
          <w:sz w:val="28"/>
          <w:szCs w:val="28"/>
        </w:rPr>
        <w:t>黄线控制</w:t>
      </w:r>
      <w:r>
        <w:rPr>
          <w:sz w:val="28"/>
          <w:szCs w:val="28"/>
        </w:rPr>
        <w:t>的内容</w:t>
      </w:r>
      <w:r>
        <w:rPr>
          <w:rFonts w:hint="eastAsia"/>
          <w:sz w:val="28"/>
          <w:szCs w:val="28"/>
        </w:rPr>
        <w:t>包括独立</w:t>
      </w:r>
      <w:r>
        <w:rPr>
          <w:sz w:val="28"/>
          <w:szCs w:val="28"/>
        </w:rPr>
        <w:t>占地的给水、排水、电力、电信、燃气、热力等市政基础设施用地，</w:t>
      </w:r>
      <w:r>
        <w:rPr>
          <w:rFonts w:hint="eastAsia"/>
          <w:sz w:val="28"/>
          <w:szCs w:val="28"/>
        </w:rPr>
        <w:t>高压线</w:t>
      </w:r>
      <w:r>
        <w:rPr>
          <w:sz w:val="28"/>
          <w:szCs w:val="28"/>
        </w:rPr>
        <w:t>走廊，</w:t>
      </w:r>
      <w:r>
        <w:rPr>
          <w:rFonts w:hint="eastAsia"/>
          <w:sz w:val="28"/>
          <w:szCs w:val="28"/>
        </w:rPr>
        <w:t>社会停车场</w:t>
      </w:r>
      <w:r>
        <w:rPr>
          <w:sz w:val="28"/>
          <w:szCs w:val="28"/>
        </w:rPr>
        <w:t>等</w:t>
      </w:r>
      <w:r>
        <w:rPr>
          <w:rFonts w:hint="eastAsia"/>
          <w:sz w:val="28"/>
          <w:szCs w:val="28"/>
        </w:rPr>
        <w:t>交通</w:t>
      </w:r>
      <w:r>
        <w:rPr>
          <w:sz w:val="28"/>
          <w:szCs w:val="28"/>
        </w:rPr>
        <w:t>基础设施用地。</w:t>
      </w:r>
    </w:p>
    <w:p w14:paraId="616ABE32">
      <w:pPr>
        <w:pStyle w:val="37"/>
        <w:spacing w:line="580" w:lineRule="exact"/>
        <w:ind w:firstLine="560"/>
        <w:rPr>
          <w:sz w:val="28"/>
          <w:szCs w:val="28"/>
        </w:rPr>
      </w:pPr>
      <w:r>
        <w:rPr>
          <w:rFonts w:hint="eastAsia"/>
          <w:sz w:val="28"/>
          <w:szCs w:val="28"/>
        </w:rPr>
        <w:t>黄线采用</w:t>
      </w:r>
      <w:r>
        <w:rPr>
          <w:sz w:val="28"/>
          <w:szCs w:val="28"/>
        </w:rPr>
        <w:t>实线控制</w:t>
      </w:r>
      <w:r>
        <w:rPr>
          <w:rFonts w:hint="eastAsia"/>
          <w:sz w:val="28"/>
          <w:szCs w:val="28"/>
        </w:rPr>
        <w:t>，</w:t>
      </w:r>
      <w:r>
        <w:rPr>
          <w:sz w:val="28"/>
          <w:szCs w:val="28"/>
        </w:rPr>
        <w:t>包括</w:t>
      </w:r>
      <w:r>
        <w:rPr>
          <w:rFonts w:hint="eastAsia"/>
          <w:sz w:val="28"/>
          <w:szCs w:val="28"/>
        </w:rPr>
        <w:t>沿街</w:t>
      </w:r>
      <w:r>
        <w:rPr>
          <w:sz w:val="28"/>
          <w:szCs w:val="28"/>
        </w:rPr>
        <w:t>市政管廊带</w:t>
      </w:r>
      <w:r>
        <w:rPr>
          <w:rFonts w:hint="eastAsia"/>
          <w:sz w:val="28"/>
          <w:szCs w:val="28"/>
        </w:rPr>
        <w:t>、</w:t>
      </w:r>
      <w:r>
        <w:rPr>
          <w:sz w:val="28"/>
          <w:szCs w:val="28"/>
        </w:rPr>
        <w:t>综合管沟廊道</w:t>
      </w:r>
      <w:r>
        <w:rPr>
          <w:rFonts w:hint="eastAsia"/>
          <w:sz w:val="28"/>
          <w:szCs w:val="28"/>
        </w:rPr>
        <w:t>，</w:t>
      </w:r>
      <w:r>
        <w:rPr>
          <w:sz w:val="28"/>
          <w:szCs w:val="28"/>
        </w:rPr>
        <w:t>以及其它独立占地的市政、交通设施。</w:t>
      </w:r>
      <w:r>
        <w:rPr>
          <w:rFonts w:hint="eastAsia"/>
          <w:sz w:val="28"/>
          <w:szCs w:val="28"/>
        </w:rPr>
        <w:t>黄线</w:t>
      </w:r>
      <w:r>
        <w:rPr>
          <w:sz w:val="28"/>
          <w:szCs w:val="28"/>
        </w:rPr>
        <w:t>划定的用地规模，廊道走向</w:t>
      </w:r>
      <w:r>
        <w:rPr>
          <w:rFonts w:hint="eastAsia"/>
          <w:sz w:val="28"/>
          <w:szCs w:val="28"/>
        </w:rPr>
        <w:t>不允许</w:t>
      </w:r>
      <w:r>
        <w:rPr>
          <w:sz w:val="28"/>
          <w:szCs w:val="28"/>
        </w:rPr>
        <w:t>改变</w:t>
      </w:r>
      <w:r>
        <w:rPr>
          <w:rFonts w:hint="eastAsia"/>
          <w:sz w:val="28"/>
          <w:szCs w:val="28"/>
        </w:rPr>
        <w:t>。</w:t>
      </w:r>
      <w:r>
        <w:rPr>
          <w:sz w:val="28"/>
          <w:szCs w:val="28"/>
        </w:rPr>
        <w:t>各类基础设施位置、范围、面积等详见图纸。对城市黄线的管理要严格按照《城市黄线管理办法》执行。</w:t>
      </w:r>
    </w:p>
    <w:p w14:paraId="66D019CD">
      <w:pPr>
        <w:pStyle w:val="37"/>
        <w:spacing w:line="580" w:lineRule="exact"/>
        <w:ind w:firstLine="560"/>
        <w:rPr>
          <w:color w:val="000000"/>
          <w:sz w:val="28"/>
          <w:szCs w:val="28"/>
        </w:rPr>
      </w:pPr>
      <w:r>
        <w:rPr>
          <w:rFonts w:hint="eastAsia"/>
          <w:color w:val="000000"/>
          <w:sz w:val="28"/>
          <w:szCs w:val="28"/>
        </w:rPr>
        <w:t>4）橙线</w:t>
      </w:r>
      <w:r>
        <w:rPr>
          <w:color w:val="000000"/>
          <w:sz w:val="28"/>
          <w:szCs w:val="28"/>
        </w:rPr>
        <w:t>控制</w:t>
      </w:r>
    </w:p>
    <w:p w14:paraId="00D719BA">
      <w:pPr>
        <w:pStyle w:val="37"/>
        <w:spacing w:line="580" w:lineRule="exact"/>
        <w:ind w:firstLine="560"/>
        <w:rPr>
          <w:sz w:val="28"/>
          <w:szCs w:val="28"/>
        </w:rPr>
      </w:pPr>
      <w:r>
        <w:rPr>
          <w:rFonts w:hint="eastAsia"/>
          <w:color w:val="000000"/>
          <w:sz w:val="28"/>
          <w:szCs w:val="28"/>
        </w:rPr>
        <w:t>重点</w:t>
      </w:r>
      <w:r>
        <w:rPr>
          <w:color w:val="000000"/>
          <w:sz w:val="28"/>
          <w:szCs w:val="28"/>
        </w:rPr>
        <w:t>控制</w:t>
      </w:r>
      <w:r>
        <w:rPr>
          <w:rFonts w:hint="eastAsia"/>
          <w:color w:val="000000"/>
          <w:sz w:val="28"/>
          <w:szCs w:val="28"/>
        </w:rPr>
        <w:t>规划</w:t>
      </w:r>
      <w:r>
        <w:rPr>
          <w:color w:val="000000"/>
          <w:sz w:val="28"/>
          <w:szCs w:val="28"/>
        </w:rPr>
        <w:t>确定的中小学</w:t>
      </w:r>
      <w:r>
        <w:rPr>
          <w:rFonts w:hint="eastAsia"/>
          <w:color w:val="000000"/>
          <w:sz w:val="28"/>
          <w:szCs w:val="28"/>
        </w:rPr>
        <w:t>、</w:t>
      </w:r>
      <w:r>
        <w:rPr>
          <w:color w:val="000000"/>
          <w:sz w:val="28"/>
          <w:szCs w:val="28"/>
        </w:rPr>
        <w:t>医</w:t>
      </w:r>
      <w:r>
        <w:rPr>
          <w:rFonts w:hint="eastAsia"/>
          <w:color w:val="000000"/>
          <w:sz w:val="28"/>
          <w:szCs w:val="28"/>
        </w:rPr>
        <w:t>疗</w:t>
      </w:r>
      <w:r>
        <w:rPr>
          <w:color w:val="000000"/>
          <w:sz w:val="28"/>
          <w:szCs w:val="28"/>
        </w:rPr>
        <w:t>、体育、文化</w:t>
      </w:r>
      <w:r>
        <w:rPr>
          <w:rFonts w:hint="eastAsia"/>
          <w:color w:val="000000"/>
          <w:sz w:val="28"/>
          <w:szCs w:val="28"/>
        </w:rPr>
        <w:t>等</w:t>
      </w:r>
      <w:r>
        <w:rPr>
          <w:color w:val="000000"/>
          <w:sz w:val="28"/>
          <w:szCs w:val="28"/>
        </w:rPr>
        <w:t>公益性</w:t>
      </w:r>
      <w:r>
        <w:rPr>
          <w:rFonts w:hint="eastAsia"/>
          <w:color w:val="000000"/>
          <w:sz w:val="28"/>
          <w:szCs w:val="28"/>
        </w:rPr>
        <w:t>公共</w:t>
      </w:r>
      <w:r>
        <w:rPr>
          <w:color w:val="000000"/>
          <w:sz w:val="28"/>
          <w:szCs w:val="28"/>
        </w:rPr>
        <w:t>服务设施用地。</w:t>
      </w:r>
      <w:r>
        <w:rPr>
          <w:rFonts w:hint="eastAsia"/>
          <w:color w:val="000000"/>
          <w:sz w:val="28"/>
          <w:szCs w:val="28"/>
        </w:rPr>
        <w:t>公益性公共</w:t>
      </w:r>
      <w:r>
        <w:rPr>
          <w:color w:val="000000"/>
          <w:sz w:val="28"/>
          <w:szCs w:val="28"/>
        </w:rPr>
        <w:t>服务设施用地</w:t>
      </w:r>
      <w:r>
        <w:rPr>
          <w:rFonts w:hint="eastAsia"/>
          <w:color w:val="000000"/>
          <w:sz w:val="28"/>
          <w:szCs w:val="28"/>
        </w:rPr>
        <w:t>属于强制性</w:t>
      </w:r>
      <w:r>
        <w:rPr>
          <w:color w:val="000000"/>
          <w:sz w:val="28"/>
          <w:szCs w:val="28"/>
        </w:rPr>
        <w:t>内容，其位置和规模不允许改变。</w:t>
      </w:r>
      <w:r>
        <w:rPr>
          <w:rFonts w:hint="eastAsia"/>
          <w:color w:val="000000"/>
          <w:sz w:val="28"/>
          <w:szCs w:val="28"/>
        </w:rPr>
        <w:t>街区</w:t>
      </w:r>
      <w:r>
        <w:rPr>
          <w:color w:val="000000"/>
          <w:sz w:val="28"/>
          <w:szCs w:val="28"/>
        </w:rPr>
        <w:t>整体开发时，公共服务用地可以进行适度调整，但规模不允许改变。</w:t>
      </w:r>
    </w:p>
    <w:p w14:paraId="0948530E">
      <w:pPr>
        <w:pStyle w:val="37"/>
        <w:spacing w:line="580" w:lineRule="exact"/>
        <w:ind w:firstLine="560"/>
        <w:rPr>
          <w:sz w:val="28"/>
          <w:szCs w:val="28"/>
        </w:rPr>
      </w:pPr>
      <w:r>
        <w:rPr>
          <w:rFonts w:hint="eastAsia"/>
          <w:sz w:val="28"/>
          <w:szCs w:val="28"/>
        </w:rPr>
        <w:t>5）紫线控制</w:t>
      </w:r>
    </w:p>
    <w:p w14:paraId="37E37904">
      <w:pPr>
        <w:pStyle w:val="37"/>
        <w:spacing w:line="580" w:lineRule="exact"/>
        <w:ind w:firstLine="560"/>
        <w:rPr>
          <w:sz w:val="28"/>
          <w:szCs w:val="28"/>
        </w:rPr>
      </w:pPr>
      <w:r>
        <w:rPr>
          <w:rFonts w:hint="eastAsia"/>
          <w:sz w:val="28"/>
          <w:szCs w:val="28"/>
        </w:rPr>
        <w:t>重点控制国家、</w:t>
      </w:r>
      <w:r>
        <w:rPr>
          <w:sz w:val="28"/>
          <w:szCs w:val="28"/>
        </w:rPr>
        <w:t>省、自治区、直辖市人民政府公布的历史文化街区的保护范围界线，以及历史文化街区外经县级以上人民政府公布保护的历史建筑的保护范围界线。</w:t>
      </w:r>
      <w:r>
        <w:rPr>
          <w:rFonts w:hint="eastAsia"/>
          <w:sz w:val="28"/>
          <w:szCs w:val="28"/>
        </w:rPr>
        <w:t>陵川县城内现有文物古迹三处，分别为崇安寺、春秋阁、魁星楼。在城市发展中，应尽快编制保护规划，并严格执行保护规划划定的保护范围及相关要求。</w:t>
      </w:r>
    </w:p>
    <w:p w14:paraId="0858F355">
      <w:pPr>
        <w:pStyle w:val="37"/>
        <w:spacing w:line="580" w:lineRule="exact"/>
        <w:ind w:firstLine="560"/>
        <w:rPr>
          <w:sz w:val="28"/>
          <w:szCs w:val="28"/>
        </w:rPr>
      </w:pPr>
      <w:r>
        <w:rPr>
          <w:rFonts w:hint="eastAsia"/>
          <w:sz w:val="28"/>
          <w:szCs w:val="28"/>
        </w:rPr>
        <w:t>6）蓝线控制</w:t>
      </w:r>
    </w:p>
    <w:p w14:paraId="55AEEB47">
      <w:pPr>
        <w:pStyle w:val="37"/>
        <w:spacing w:line="580" w:lineRule="exact"/>
        <w:ind w:firstLine="560"/>
        <w:rPr>
          <w:sz w:val="28"/>
          <w:szCs w:val="28"/>
        </w:rPr>
      </w:pPr>
      <w:r>
        <w:rPr>
          <w:sz w:val="28"/>
          <w:szCs w:val="28"/>
        </w:rPr>
        <w:t>城市规划确定的江、河、湖、库、湿地等城市地表水体保护和控制的地域界线。</w:t>
      </w:r>
      <w:r>
        <w:rPr>
          <w:rFonts w:hint="eastAsia"/>
          <w:sz w:val="28"/>
          <w:szCs w:val="28"/>
        </w:rPr>
        <w:t>在城市蓝线内禁止进行违反城市蓝线保护和控制要求的建设活动、擅自填埋、占用城市蓝线内水域、影响水系</w:t>
      </w:r>
      <w:r>
        <w:fldChar w:fldCharType="begin"/>
      </w:r>
      <w:r>
        <w:instrText xml:space="preserve"> HYPERLINK "https://iask.sina.com.cn/wanghong/tag/319" \t "_blank" </w:instrText>
      </w:r>
      <w:r>
        <w:fldChar w:fldCharType="separate"/>
      </w:r>
      <w:r>
        <w:rPr>
          <w:rFonts w:hint="eastAsia"/>
          <w:sz w:val="28"/>
          <w:szCs w:val="28"/>
        </w:rPr>
        <w:t>安全</w:t>
      </w:r>
      <w:r>
        <w:rPr>
          <w:rFonts w:hint="eastAsia"/>
          <w:sz w:val="28"/>
          <w:szCs w:val="28"/>
        </w:rPr>
        <w:fldChar w:fldCharType="end"/>
      </w:r>
      <w:r>
        <w:rPr>
          <w:rFonts w:hint="eastAsia"/>
          <w:sz w:val="28"/>
          <w:szCs w:val="28"/>
        </w:rPr>
        <w:t>的爆破、采石、取土、擅自建设各类排污设施和其他对城市水系保护构成破坏的活动。在城市蓝线内进行各项建设，必须符合经批准的城市规划。</w:t>
      </w:r>
    </w:p>
    <w:p w14:paraId="0A325818">
      <w:pPr>
        <w:pStyle w:val="37"/>
        <w:spacing w:line="580" w:lineRule="exact"/>
        <w:ind w:firstLine="560"/>
        <w:rPr>
          <w:sz w:val="28"/>
          <w:szCs w:val="28"/>
        </w:rPr>
      </w:pPr>
      <w:r>
        <w:rPr>
          <w:rFonts w:hint="eastAsia"/>
          <w:sz w:val="28"/>
          <w:szCs w:val="28"/>
        </w:rPr>
        <w:t>2、容量控制</w:t>
      </w:r>
    </w:p>
    <w:p w14:paraId="3E12E125">
      <w:pPr>
        <w:pStyle w:val="37"/>
        <w:spacing w:line="580" w:lineRule="exact"/>
        <w:ind w:firstLine="560"/>
        <w:rPr>
          <w:sz w:val="28"/>
          <w:szCs w:val="28"/>
        </w:rPr>
      </w:pPr>
      <w:r>
        <w:rPr>
          <w:rFonts w:hint="eastAsia"/>
          <w:sz w:val="28"/>
          <w:szCs w:val="28"/>
        </w:rPr>
        <w:t>1）开发强度</w:t>
      </w:r>
    </w:p>
    <w:p w14:paraId="2D5B0369">
      <w:pPr>
        <w:pStyle w:val="44"/>
        <w:spacing w:line="580" w:lineRule="exact"/>
      </w:pPr>
      <w:r>
        <w:rPr>
          <w:rFonts w:hint="eastAsia"/>
        </w:rPr>
        <w:t>开发强度涉及到建设容量和环境容量、交通负荷能力和功能需要等方面的因素。综合考虑城市空间发展、道路交通体系、用地性质等对片区的影响，合理对土地开发强度进行控制，保证良好的城市空间环境，对投资引导、土地使用效率的提高以及形成合理的城市结构起到积极的作用。</w:t>
      </w:r>
    </w:p>
    <w:p w14:paraId="0DE9E739">
      <w:pPr>
        <w:pStyle w:val="44"/>
        <w:spacing w:line="580" w:lineRule="exact"/>
      </w:pPr>
      <w:r>
        <w:rPr>
          <w:rFonts w:hint="eastAsia"/>
        </w:rPr>
        <w:t>土地开发强度的控制通过容积率和建筑密度两项指标来控制。</w:t>
      </w:r>
    </w:p>
    <w:p w14:paraId="30C6739C">
      <w:pPr>
        <w:pStyle w:val="44"/>
        <w:spacing w:line="580" w:lineRule="exact"/>
      </w:pPr>
      <w:r>
        <w:rPr>
          <w:rFonts w:hint="eastAsia"/>
        </w:rPr>
        <w:t>控制性详细规划中，容积率是开发强度的在重要指标之一。在山地城市中，由于可建设用地不足，容积率性对平原城市可予以适当提高。混合用地比例高于平原城市，为土地开发争取一定的弹性空间</w:t>
      </w:r>
    </w:p>
    <w:p w14:paraId="6FB43747">
      <w:pPr>
        <w:pStyle w:val="44"/>
        <w:spacing w:line="580" w:lineRule="exact"/>
      </w:pPr>
      <w:r>
        <w:rPr>
          <w:rFonts w:hint="eastAsia"/>
        </w:rPr>
        <w:t>规划根据地块所属区位、土地级差价值、经济发展条件和发展时序的不同，确定城市总体空间布局为“高——低——高”进行控制，各分区之间过渡地带指标相应调整。古陵乐享生活区、卧龙融合生活区新建项目较多、可开发用地条件较好，确定容积率设定为较高地区；崇安传承文化区为陵川县城区内的老城区，文物古迹建筑集中于此，为保证历史建筑及文物建筑在空间上的统领地位，保证老城风貌的延续，该区域容积率按照较低设置。</w:t>
      </w:r>
    </w:p>
    <w:p w14:paraId="444D582A">
      <w:pPr>
        <w:pStyle w:val="47"/>
        <w:spacing w:line="580" w:lineRule="exact"/>
        <w:ind w:firstLine="562"/>
        <w:rPr>
          <w:b/>
        </w:rPr>
      </w:pPr>
      <w:r>
        <w:rPr>
          <w:rFonts w:hint="eastAsia"/>
          <w:b/>
        </w:rPr>
        <w:t>▲古陵乐享生活区</w:t>
      </w:r>
    </w:p>
    <w:p w14:paraId="76CB5EBF">
      <w:pPr>
        <w:pStyle w:val="44"/>
        <w:spacing w:line="580" w:lineRule="exact"/>
      </w:pPr>
      <w:r>
        <w:rPr>
          <w:rFonts w:hint="eastAsia"/>
        </w:rPr>
        <w:t>南部新城片区是重要的发展地段，有较好的土地开发资源，又是新区带动旧城改造的启动区域，因此，规划尽量实现土地的集中、综合利用，合理利用地块商业和服务价值，提升城市经济水平。</w:t>
      </w:r>
    </w:p>
    <w:p w14:paraId="583312DC">
      <w:pPr>
        <w:pStyle w:val="44"/>
        <w:spacing w:line="580" w:lineRule="exact"/>
      </w:pPr>
      <w:r>
        <w:rPr>
          <w:rFonts w:hint="eastAsia"/>
        </w:rPr>
        <w:t>1、公共管理用地：多以文化、教育及医疗设施为主，规划占地面积大，建设标准较高，建筑以多层为主，容积率控制在1.0-1.8之间，建筑密度控制在30</w:t>
      </w:r>
      <w:r>
        <w:t>%</w:t>
      </w:r>
      <w:r>
        <w:rPr>
          <w:rFonts w:hint="eastAsia"/>
        </w:rPr>
        <w:t>--40</w:t>
      </w:r>
      <w:r>
        <w:t>%</w:t>
      </w:r>
      <w:r>
        <w:rPr>
          <w:rFonts w:hint="eastAsia"/>
        </w:rPr>
        <w:t>，绿地率不小于30%。</w:t>
      </w:r>
    </w:p>
    <w:p w14:paraId="0E2D7F74">
      <w:pPr>
        <w:pStyle w:val="44"/>
        <w:spacing w:line="580" w:lineRule="exact"/>
      </w:pPr>
      <w:r>
        <w:rPr>
          <w:rFonts w:hint="eastAsia"/>
        </w:rPr>
        <w:t>2、商业服务业用地：商业服务业以地区配套为主，兼顾部分对外服务，规划一般以多层为主，少量宾馆服务业设置高层、使用强度较高，建筑密度大，容积率控制在1.2-4.0之间，建筑密度控制在不大于50</w:t>
      </w:r>
      <w:r>
        <w:t>%</w:t>
      </w:r>
      <w:r>
        <w:rPr>
          <w:rFonts w:hint="eastAsia"/>
        </w:rPr>
        <w:t>，绿地率不小于25%</w:t>
      </w:r>
      <w:r>
        <w:t>。</w:t>
      </w:r>
    </w:p>
    <w:p w14:paraId="3F26A166">
      <w:pPr>
        <w:pStyle w:val="44"/>
        <w:spacing w:line="580" w:lineRule="exact"/>
      </w:pPr>
      <w:r>
        <w:rPr>
          <w:rFonts w:hint="eastAsia"/>
        </w:rPr>
        <w:t>3、居住用地：东部地区用地面积大，拆迁安置要求较低，建筑应以小高层为主，规划住宅用地开发强度的容积率控制在1.8-3.0之间，建筑密度控制在20</w:t>
      </w:r>
      <w:r>
        <w:t>%</w:t>
      </w:r>
      <w:r>
        <w:rPr>
          <w:rFonts w:hint="eastAsia"/>
        </w:rPr>
        <w:t>--28</w:t>
      </w:r>
      <w:r>
        <w:t>%</w:t>
      </w:r>
      <w:r>
        <w:rPr>
          <w:rFonts w:hint="eastAsia"/>
        </w:rPr>
        <w:t>，绿地率不小于30%。</w:t>
      </w:r>
    </w:p>
    <w:p w14:paraId="21E630D3">
      <w:pPr>
        <w:pStyle w:val="47"/>
        <w:spacing w:line="580" w:lineRule="exact"/>
        <w:ind w:firstLine="562"/>
        <w:rPr>
          <w:b/>
        </w:rPr>
      </w:pPr>
      <w:r>
        <w:rPr>
          <w:rFonts w:hint="eastAsia"/>
          <w:b/>
        </w:rPr>
        <w:t>▲崇安传承文化区</w:t>
      </w:r>
    </w:p>
    <w:p w14:paraId="1DFBD723">
      <w:pPr>
        <w:pStyle w:val="44"/>
        <w:spacing w:line="580" w:lineRule="exact"/>
      </w:pPr>
      <w:r>
        <w:rPr>
          <w:rFonts w:hint="eastAsia"/>
        </w:rPr>
        <w:t>中部综合片区内包含文保单位、历史建筑，现状以低层、多层建筑为主，；同时，从公共设施角度来看，建筑高度不高，但其环境要求和景观要求很高。规划对各地块用地指标进行严格控制。</w:t>
      </w:r>
    </w:p>
    <w:p w14:paraId="1D609E41">
      <w:pPr>
        <w:pStyle w:val="44"/>
        <w:spacing w:line="580" w:lineRule="exact"/>
      </w:pPr>
      <w:r>
        <w:rPr>
          <w:rFonts w:hint="eastAsia"/>
        </w:rPr>
        <w:t>1、公共管理用地：多为现状占地或已批用地、用地面积较小，以低、多层为主，容积率控制在2.3以下，建筑密度控制在30</w:t>
      </w:r>
      <w:r>
        <w:t>%</w:t>
      </w:r>
      <w:r>
        <w:rPr>
          <w:rFonts w:hint="eastAsia"/>
        </w:rPr>
        <w:t>--35</w:t>
      </w:r>
      <w:r>
        <w:t>%</w:t>
      </w:r>
      <w:r>
        <w:rPr>
          <w:rFonts w:hint="eastAsia"/>
        </w:rPr>
        <w:t>，绿地率不小于30%</w:t>
      </w:r>
      <w:r>
        <w:t>。</w:t>
      </w:r>
    </w:p>
    <w:p w14:paraId="68D89341">
      <w:pPr>
        <w:pStyle w:val="44"/>
        <w:spacing w:line="580" w:lineRule="exact"/>
      </w:pPr>
      <w:r>
        <w:rPr>
          <w:rFonts w:hint="eastAsia"/>
        </w:rPr>
        <w:t>2、商业服务业用地：考虑到建筑占地大小不等，商业地区土地价值和旧城改造成本的因素，中心区规划应以综合性商业为主，包括宾馆及旅游服务建筑及部分商住混合建筑，规划按照低、多层控制，建筑密度高，容积率控制在1.2-2.5之间，建筑密度不大于50</w:t>
      </w:r>
      <w:r>
        <w:t>%</w:t>
      </w:r>
      <w:r>
        <w:rPr>
          <w:rFonts w:hint="eastAsia"/>
        </w:rPr>
        <w:t>，由于用地现状的情况较为复杂，绿地率可进行适当的降低，主要为满足室外疏散和停车的要求，规划绿地率为不小于25%。</w:t>
      </w:r>
    </w:p>
    <w:p w14:paraId="56FE3699">
      <w:pPr>
        <w:pStyle w:val="44"/>
        <w:spacing w:line="580" w:lineRule="exact"/>
      </w:pPr>
      <w:r>
        <w:rPr>
          <w:rFonts w:hint="eastAsia"/>
        </w:rPr>
        <w:t>3、居住用地：规划居住用地包含已建项目，且该区用地的街区面积较南北组团小，为保持建筑与山体的良好空间关系，建筑应以低、多层为主，规划住宅用地开发强度的容积率控制在0.8-2.0之间，建筑密度控制在25</w:t>
      </w:r>
      <w:r>
        <w:t>%</w:t>
      </w:r>
      <w:r>
        <w:rPr>
          <w:rFonts w:hint="eastAsia"/>
        </w:rPr>
        <w:t>--33</w:t>
      </w:r>
      <w:r>
        <w:t>%</w:t>
      </w:r>
      <w:r>
        <w:rPr>
          <w:rFonts w:hint="eastAsia"/>
        </w:rPr>
        <w:t>；结合陵川创建园林城市的发展目标，以及陵川良好的自然本底，规划确定该区绿地率不小于35%；旧区可适当降低，但不低于30%。</w:t>
      </w:r>
    </w:p>
    <w:p w14:paraId="62C02E54">
      <w:pPr>
        <w:pStyle w:val="47"/>
        <w:spacing w:line="580" w:lineRule="exact"/>
        <w:ind w:firstLine="562"/>
        <w:rPr>
          <w:b/>
        </w:rPr>
      </w:pPr>
      <w:r>
        <w:rPr>
          <w:rFonts w:hint="eastAsia"/>
          <w:b/>
        </w:rPr>
        <w:t>▲望洛融合生活区</w:t>
      </w:r>
    </w:p>
    <w:p w14:paraId="49FA465B">
      <w:pPr>
        <w:pStyle w:val="44"/>
        <w:spacing w:line="580" w:lineRule="exact"/>
      </w:pPr>
      <w:r>
        <w:rPr>
          <w:rFonts w:hint="eastAsia"/>
        </w:rPr>
        <w:t>北部教育片区用地条件较好，靠近外环公路有部分村庄居住用地，包含仓储用地、市场用地等。北部教育片区也是陵川旧城的一部分，该区的旧城复兴是现阶段的主要任务；同时，北部用地条件良好，土地储备相对较多，也是陵川旧城更新的启动区域。因此，北部组团指标具有一定的灵活性。</w:t>
      </w:r>
    </w:p>
    <w:p w14:paraId="5963BE84">
      <w:pPr>
        <w:pStyle w:val="44"/>
        <w:spacing w:line="580" w:lineRule="exact"/>
      </w:pPr>
      <w:r>
        <w:rPr>
          <w:rFonts w:hint="eastAsia"/>
        </w:rPr>
        <w:t>1、行政办公用地：建筑占地较小、环境要求高，容积率控制在2.3以下，建筑密度控制在30</w:t>
      </w:r>
      <w:r>
        <w:t>%</w:t>
      </w:r>
      <w:r>
        <w:rPr>
          <w:rFonts w:hint="eastAsia"/>
        </w:rPr>
        <w:t>--35</w:t>
      </w:r>
      <w:r>
        <w:t>%</w:t>
      </w:r>
      <w:r>
        <w:rPr>
          <w:rFonts w:hint="eastAsia"/>
        </w:rPr>
        <w:t>，绿地率不小于35%。</w:t>
      </w:r>
    </w:p>
    <w:p w14:paraId="153F6504">
      <w:pPr>
        <w:pStyle w:val="44"/>
        <w:spacing w:line="580" w:lineRule="exact"/>
      </w:pPr>
      <w:r>
        <w:rPr>
          <w:rFonts w:hint="eastAsia"/>
        </w:rPr>
        <w:t>2、商业用地：建筑占地较大，一般以多、高层为主、使用强度较高，容积率控制在2.5-4.0，建筑密度控制在25</w:t>
      </w:r>
      <w:r>
        <w:t>%</w:t>
      </w:r>
      <w:r>
        <w:rPr>
          <w:rFonts w:hint="eastAsia"/>
        </w:rPr>
        <w:t>-30</w:t>
      </w:r>
      <w:r>
        <w:t>%</w:t>
      </w:r>
      <w:r>
        <w:rPr>
          <w:rFonts w:hint="eastAsia"/>
        </w:rPr>
        <w:t>，绿地率控制在25%</w:t>
      </w:r>
      <w:r>
        <w:t>。</w:t>
      </w:r>
    </w:p>
    <w:p w14:paraId="7AF6CB1B">
      <w:pPr>
        <w:pStyle w:val="44"/>
        <w:spacing w:line="580" w:lineRule="exact"/>
      </w:pPr>
      <w:r>
        <w:rPr>
          <w:rFonts w:hint="eastAsia"/>
        </w:rPr>
        <w:t>3、文化娱乐用地：文化娱乐用地结合规划公园布置，开发强度不宜过高，容积率控制1.2-1.8，建筑密度控制小于40</w:t>
      </w:r>
      <w:r>
        <w:t>%</w:t>
      </w:r>
      <w:r>
        <w:rPr>
          <w:rFonts w:hint="eastAsia"/>
        </w:rPr>
        <w:t>，由于教育用地较多，将有大量的人流活动，规划绿地率不小于30%。</w:t>
      </w:r>
    </w:p>
    <w:p w14:paraId="17B355AF">
      <w:pPr>
        <w:pStyle w:val="44"/>
        <w:spacing w:line="580" w:lineRule="exact"/>
      </w:pPr>
      <w:r>
        <w:rPr>
          <w:rFonts w:hint="eastAsia"/>
        </w:rPr>
        <w:t>4、居住用地：规划居住用地以二类居住用地为主，生态景观要求较高，具有一定的标志性，建筑应以多高层为主，规划住宅用地开发强度的容积率控制在1.8-3.0之间，建筑密度控制在2</w:t>
      </w:r>
      <w:r>
        <w:t>0%</w:t>
      </w:r>
      <w:r>
        <w:rPr>
          <w:rFonts w:hint="eastAsia"/>
        </w:rPr>
        <w:t>--28</w:t>
      </w:r>
      <w:r>
        <w:t>%</w:t>
      </w:r>
      <w:r>
        <w:rPr>
          <w:rFonts w:hint="eastAsia"/>
        </w:rPr>
        <w:t>，绿地率不小于30%。</w:t>
      </w:r>
    </w:p>
    <w:p w14:paraId="0BE8C31F">
      <w:pPr>
        <w:pStyle w:val="44"/>
        <w:spacing w:line="580" w:lineRule="exact"/>
      </w:pPr>
      <w:r>
        <w:rPr>
          <w:rFonts w:hint="eastAsia"/>
        </w:rPr>
        <w:t>5、仓储用地：根据工业项目的性质特点，容积率控制1.0-1.5，建筑密度控制35-45%。</w:t>
      </w:r>
    </w:p>
    <w:p w14:paraId="7281D053">
      <w:pPr>
        <w:pStyle w:val="37"/>
        <w:spacing w:line="580" w:lineRule="exact"/>
        <w:ind w:firstLine="560"/>
        <w:rPr>
          <w:sz w:val="28"/>
          <w:szCs w:val="28"/>
        </w:rPr>
      </w:pPr>
      <w:r>
        <w:rPr>
          <w:rFonts w:hint="eastAsia"/>
          <w:sz w:val="28"/>
          <w:szCs w:val="28"/>
        </w:rPr>
        <w:t>(二)高度控制</w:t>
      </w:r>
    </w:p>
    <w:p w14:paraId="7F27316D">
      <w:pPr>
        <w:pStyle w:val="44"/>
        <w:spacing w:line="580" w:lineRule="exact"/>
      </w:pPr>
      <w:r>
        <w:rPr>
          <w:rFonts w:hint="eastAsia"/>
        </w:rPr>
        <w:t>建筑高度控制主要考虑到城市总体景观视廊、城市天际线因素及城市经济发展特点。</w:t>
      </w:r>
    </w:p>
    <w:p w14:paraId="6E8CD1D9">
      <w:pPr>
        <w:pStyle w:val="44"/>
        <w:spacing w:line="580" w:lineRule="exact"/>
      </w:pPr>
      <w:r>
        <w:rPr>
          <w:rFonts w:hint="eastAsia"/>
        </w:rPr>
        <w:t>高度控制主要限制建筑最大高度。</w:t>
      </w:r>
    </w:p>
    <w:p w14:paraId="428E729C">
      <w:pPr>
        <w:pStyle w:val="44"/>
        <w:spacing w:line="580" w:lineRule="exact"/>
      </w:pPr>
      <w:r>
        <w:rPr>
          <w:rFonts w:hint="eastAsia"/>
        </w:rPr>
        <w:t>分析陵川县城现状建设情况及文物古迹分布、空间肌理等要素，规划陵川县城区的高度控制体系为：以崇安寺和县政府为核心，建筑高度逐步向南北两侧升高，保证国保单位的绝对空间地位，同时兼顾城市发展的实际需求。</w:t>
      </w:r>
    </w:p>
    <w:p w14:paraId="67A16BB1">
      <w:pPr>
        <w:pStyle w:val="44"/>
        <w:spacing w:line="580" w:lineRule="exact"/>
      </w:pPr>
      <w:r>
        <w:rPr>
          <w:rFonts w:hint="eastAsia"/>
        </w:rPr>
        <w:t>集中高层建筑区为北部居住用地和南部组团，建筑高度控制在80米以内。周边地区控制以多层及小高层为主，高度在18-60米之间。</w:t>
      </w:r>
    </w:p>
    <w:p w14:paraId="05999829">
      <w:pPr>
        <w:pStyle w:val="44"/>
        <w:spacing w:line="580" w:lineRule="exact"/>
      </w:pPr>
      <w:r>
        <w:rPr>
          <w:rFonts w:hint="eastAsia"/>
        </w:rPr>
        <w:t>沿街建筑高度控制要求：</w:t>
      </w:r>
    </w:p>
    <w:p w14:paraId="43DDE5A5">
      <w:pPr>
        <w:pStyle w:val="44"/>
        <w:spacing w:line="580" w:lineRule="exact"/>
      </w:pPr>
      <w:r>
        <w:rPr>
          <w:rFonts w:hint="eastAsia"/>
        </w:rPr>
        <w:t>建筑物的沿街部分须符合日照、建筑间距、消防等方面的要求，同时满足如下规定。</w:t>
      </w:r>
    </w:p>
    <w:p w14:paraId="1CC23F0E">
      <w:pPr>
        <w:pStyle w:val="44"/>
        <w:spacing w:line="580" w:lineRule="exact"/>
      </w:pPr>
      <w:r>
        <w:rPr>
          <w:rFonts w:hint="eastAsia"/>
        </w:rPr>
        <w:t>沿街建筑的控制高度不得超过道路规划红线宽度加建筑后距离之和的1.5倍，即：H≤1.5（W＋2S）</w:t>
      </w:r>
    </w:p>
    <w:p w14:paraId="326EB7E0">
      <w:pPr>
        <w:pStyle w:val="44"/>
        <w:spacing w:line="580" w:lineRule="exact"/>
      </w:pPr>
      <w:r>
        <w:rPr>
          <w:rFonts w:hint="eastAsia"/>
        </w:rPr>
        <w:t>式中：H——沿街建筑高度</w:t>
      </w:r>
    </w:p>
    <w:p w14:paraId="088D1ABC">
      <w:pPr>
        <w:pStyle w:val="44"/>
        <w:spacing w:line="580" w:lineRule="exact"/>
      </w:pPr>
      <w:r>
        <w:rPr>
          <w:rFonts w:hint="eastAsia"/>
        </w:rPr>
        <w:t>W——规划道路红线宽度</w:t>
      </w:r>
    </w:p>
    <w:p w14:paraId="43C13B3D">
      <w:pPr>
        <w:pStyle w:val="44"/>
        <w:spacing w:line="580" w:lineRule="exact"/>
      </w:pPr>
      <w:r>
        <w:rPr>
          <w:rFonts w:hint="eastAsia"/>
        </w:rPr>
        <w:t>S——建筑后退红线距离</w:t>
      </w:r>
    </w:p>
    <w:p w14:paraId="4E99516A">
      <w:pPr>
        <w:pStyle w:val="44"/>
        <w:spacing w:line="580" w:lineRule="exact"/>
      </w:pPr>
      <w:r>
        <w:rPr>
          <w:rFonts w:hint="eastAsia"/>
        </w:rPr>
        <w:t>L——幢建筑沿街的长度</w:t>
      </w:r>
    </w:p>
    <w:p w14:paraId="443A38B2">
      <w:pPr>
        <w:pStyle w:val="44"/>
        <w:spacing w:line="580" w:lineRule="exact"/>
      </w:pPr>
      <w:r>
        <w:rPr>
          <w:rFonts w:hint="eastAsia"/>
        </w:rPr>
        <w:t>沿道路交叉口的建筑高度控制应按较宽的道路计算。</w:t>
      </w:r>
    </w:p>
    <w:p w14:paraId="5B02A12C">
      <w:pPr>
        <w:pStyle w:val="37"/>
        <w:spacing w:line="580" w:lineRule="exact"/>
        <w:ind w:firstLine="560"/>
        <w:rPr>
          <w:sz w:val="28"/>
          <w:szCs w:val="28"/>
        </w:rPr>
      </w:pPr>
      <w:r>
        <w:rPr>
          <w:rFonts w:hint="eastAsia"/>
          <w:sz w:val="28"/>
          <w:szCs w:val="28"/>
        </w:rPr>
        <w:t>(三)地块控制</w:t>
      </w:r>
    </w:p>
    <w:p w14:paraId="010FD4E5">
      <w:pPr>
        <w:pStyle w:val="37"/>
        <w:spacing w:line="580" w:lineRule="exact"/>
        <w:ind w:firstLine="560"/>
        <w:rPr>
          <w:sz w:val="28"/>
          <w:szCs w:val="28"/>
        </w:rPr>
      </w:pPr>
      <w:r>
        <w:rPr>
          <w:rFonts w:hint="eastAsia"/>
          <w:sz w:val="28"/>
          <w:szCs w:val="28"/>
        </w:rPr>
        <w:t>1、地块划分原则</w:t>
      </w:r>
    </w:p>
    <w:p w14:paraId="00198F79">
      <w:pPr>
        <w:pStyle w:val="44"/>
        <w:spacing w:line="580" w:lineRule="exact"/>
      </w:pPr>
      <w:r>
        <w:rPr>
          <w:rFonts w:hint="eastAsia"/>
        </w:rPr>
        <w:t>针对土地利用现状存在的主要问题</w:t>
      </w:r>
      <w:r>
        <w:t>,</w:t>
      </w:r>
      <w:r>
        <w:rPr>
          <w:rFonts w:hint="eastAsia"/>
        </w:rPr>
        <w:t>控制性详细规划的地块划分以整体联动开发</w:t>
      </w:r>
      <w:r>
        <w:t>,</w:t>
      </w:r>
      <w:r>
        <w:rPr>
          <w:rFonts w:hint="eastAsia"/>
        </w:rPr>
        <w:t>台地围合界定</w:t>
      </w:r>
      <w:r>
        <w:t>,</w:t>
      </w:r>
      <w:r>
        <w:rPr>
          <w:rFonts w:hint="eastAsia"/>
        </w:rPr>
        <w:t>安全便利通行</w:t>
      </w:r>
      <w:r>
        <w:t>,</w:t>
      </w:r>
      <w:r>
        <w:rPr>
          <w:rFonts w:hint="eastAsia"/>
        </w:rPr>
        <w:t>显山露水为规划原则</w:t>
      </w:r>
      <w:r>
        <w:t>,</w:t>
      </w:r>
      <w:r>
        <w:rPr>
          <w:rFonts w:hint="eastAsia"/>
        </w:rPr>
        <w:t>最大限度地提高土地利用强度。</w:t>
      </w:r>
    </w:p>
    <w:p w14:paraId="627C482F">
      <w:pPr>
        <w:pStyle w:val="44"/>
        <w:spacing w:line="580" w:lineRule="exact"/>
      </w:pPr>
      <w:r>
        <w:rPr>
          <w:rFonts w:hint="eastAsia"/>
        </w:rPr>
        <w:t>1）整体联动开发</w:t>
      </w:r>
    </w:p>
    <w:p w14:paraId="2AF9AD89">
      <w:pPr>
        <w:pStyle w:val="44"/>
        <w:spacing w:line="580" w:lineRule="exact"/>
      </w:pPr>
      <w:r>
        <w:rPr>
          <w:rFonts w:hint="eastAsia"/>
        </w:rPr>
        <w:t>根据系统控制原则</w:t>
      </w:r>
      <w:r>
        <w:t>,</w:t>
      </w:r>
      <w:r>
        <w:rPr>
          <w:rFonts w:hint="eastAsia"/>
        </w:rPr>
        <w:t>进一步细化地块分类</w:t>
      </w:r>
      <w:r>
        <w:t>,</w:t>
      </w:r>
      <w:r>
        <w:rPr>
          <w:rFonts w:hint="eastAsia"/>
        </w:rPr>
        <w:t>强调山地城市土地的集约化开发</w:t>
      </w:r>
      <w:r>
        <w:t>,</w:t>
      </w:r>
      <w:r>
        <w:rPr>
          <w:rFonts w:hint="eastAsia"/>
        </w:rPr>
        <w:t>较大量采用混合用地方式，为创造整体开发和联动开发的可能性</w:t>
      </w:r>
      <w:r>
        <w:t>,</w:t>
      </w:r>
      <w:r>
        <w:rPr>
          <w:rFonts w:hint="eastAsia"/>
        </w:rPr>
        <w:t>局部地段按照国家用地性质标准的小类进行地块划。</w:t>
      </w:r>
    </w:p>
    <w:p w14:paraId="34918736">
      <w:pPr>
        <w:pStyle w:val="44"/>
        <w:spacing w:line="580" w:lineRule="exact"/>
      </w:pPr>
      <w:r>
        <w:rPr>
          <w:rFonts w:hint="eastAsia"/>
        </w:rPr>
        <w:t>2）台地围合界定</w:t>
      </w:r>
    </w:p>
    <w:p w14:paraId="53B384B4">
      <w:pPr>
        <w:pStyle w:val="44"/>
        <w:spacing w:line="580" w:lineRule="exact"/>
      </w:pPr>
      <w:r>
        <w:rPr>
          <w:rFonts w:hint="eastAsia"/>
        </w:rPr>
        <w:t>地块划分首要考虑要素为居住安全，避让自然灾害，明确防护边界。</w:t>
      </w:r>
    </w:p>
    <w:p w14:paraId="78A43476">
      <w:pPr>
        <w:pStyle w:val="44"/>
        <w:spacing w:line="580" w:lineRule="exact"/>
      </w:pPr>
      <w:r>
        <w:rPr>
          <w:rFonts w:hint="eastAsia"/>
        </w:rPr>
        <w:t>在规划地形复杂、坡度变化突出的地区，地块划分是以相对平整的台地作为基准，兼顾防护坡的合理性和等高线分布，同时汇入用地性质等多种要素共同进行考量。</w:t>
      </w:r>
    </w:p>
    <w:p w14:paraId="5930EB62">
      <w:pPr>
        <w:pStyle w:val="44"/>
        <w:spacing w:line="580" w:lineRule="exact"/>
      </w:pPr>
      <w:r>
        <w:rPr>
          <w:rFonts w:hint="eastAsia"/>
        </w:rPr>
        <w:t>3）安全便捷通行</w:t>
      </w:r>
    </w:p>
    <w:p w14:paraId="2E18A8D3">
      <w:pPr>
        <w:pStyle w:val="44"/>
        <w:spacing w:line="580" w:lineRule="exact"/>
      </w:pPr>
      <w:r>
        <w:rPr>
          <w:rFonts w:hint="eastAsia"/>
        </w:rPr>
        <w:t>山地城市，要根据交通自组织理论，交通可达性和道路的出入口位置作为地块划分的条件。</w:t>
      </w:r>
    </w:p>
    <w:p w14:paraId="68E253F0">
      <w:pPr>
        <w:pStyle w:val="44"/>
        <w:spacing w:line="580" w:lineRule="exact"/>
      </w:pPr>
      <w:r>
        <w:rPr>
          <w:rFonts w:hint="eastAsia"/>
        </w:rPr>
        <w:t>4）显山露水设计</w:t>
      </w:r>
    </w:p>
    <w:p w14:paraId="478AC4C8">
      <w:pPr>
        <w:pStyle w:val="44"/>
        <w:spacing w:line="580" w:lineRule="exact"/>
      </w:pPr>
      <w:r>
        <w:rPr>
          <w:rFonts w:hint="eastAsia"/>
        </w:rPr>
        <w:t>山地城市的地块划分，需反映山城关系，以及自然、人文、景观特征。地块边界的确定考虑山峦的连续性和山体的完整性，地块用地性质的确立考虑山体的交相呼应，使城中时隐时现展露山水格局。</w:t>
      </w:r>
    </w:p>
    <w:p w14:paraId="0B025FD7">
      <w:pPr>
        <w:pStyle w:val="37"/>
        <w:spacing w:line="580" w:lineRule="exact"/>
        <w:ind w:firstLine="560"/>
        <w:rPr>
          <w:sz w:val="28"/>
          <w:szCs w:val="28"/>
        </w:rPr>
      </w:pPr>
      <w:r>
        <w:rPr>
          <w:rFonts w:hint="eastAsia"/>
          <w:sz w:val="28"/>
          <w:szCs w:val="28"/>
        </w:rPr>
        <w:t>2、控制方法</w:t>
      </w:r>
    </w:p>
    <w:p w14:paraId="57C6D951">
      <w:pPr>
        <w:pStyle w:val="37"/>
        <w:spacing w:line="580" w:lineRule="exact"/>
        <w:ind w:firstLine="560"/>
        <w:rPr>
          <w:sz w:val="28"/>
          <w:szCs w:val="28"/>
        </w:rPr>
      </w:pPr>
      <w:r>
        <w:rPr>
          <w:rFonts w:hint="eastAsia"/>
          <w:sz w:val="28"/>
          <w:szCs w:val="28"/>
        </w:rPr>
        <w:t>1）建筑间距</w:t>
      </w:r>
    </w:p>
    <w:p w14:paraId="20951B18">
      <w:pPr>
        <w:pStyle w:val="44"/>
        <w:spacing w:line="580" w:lineRule="exact"/>
      </w:pPr>
      <w:r>
        <w:rPr>
          <w:rFonts w:hint="eastAsia"/>
        </w:rPr>
        <w:t>相邻建筑物间距首先应满足消防、卫生、环保、疏散、工程管线和建筑保护方面的要求，杜绝安全隐患。</w:t>
      </w:r>
    </w:p>
    <w:p w14:paraId="4F5E4419">
      <w:pPr>
        <w:pStyle w:val="44"/>
        <w:spacing w:line="580" w:lineRule="exact"/>
      </w:pPr>
      <w:r>
        <w:rPr>
          <w:rFonts w:hint="eastAsia"/>
        </w:rPr>
        <w:t>①高层建筑与多层建筑混合时间距</w:t>
      </w:r>
    </w:p>
    <w:p w14:paraId="382708E0">
      <w:pPr>
        <w:pStyle w:val="44"/>
        <w:spacing w:line="580" w:lineRule="exact"/>
      </w:pPr>
      <w:r>
        <w:rPr>
          <w:rFonts w:hint="eastAsia"/>
        </w:rPr>
        <w:t>高层建筑或高层建筑与多层建筑混合布置时间距应满《居住区规划设计规范》中底层窗台日照时间大寒日3小时要求，旧区改造时可酌情降低，但不应小于大寒日1小时。</w:t>
      </w:r>
    </w:p>
    <w:p w14:paraId="5C2B87EE">
      <w:pPr>
        <w:pStyle w:val="44"/>
        <w:spacing w:line="580" w:lineRule="exact"/>
      </w:pPr>
      <w:r>
        <w:rPr>
          <w:rFonts w:hint="eastAsia"/>
        </w:rPr>
        <w:t>②幼儿园、托儿所和小学教学楼与相邻建筑间距的确定，除应根据城市设计、景观分析并须符合消防、卫生防疫等规范外，按下列规定执行：</w:t>
      </w:r>
    </w:p>
    <w:p w14:paraId="1B80368A">
      <w:pPr>
        <w:pStyle w:val="44"/>
        <w:spacing w:line="580" w:lineRule="exact"/>
      </w:pPr>
      <w:r>
        <w:rPr>
          <w:rFonts w:hint="eastAsia"/>
        </w:rPr>
        <w:t>托儿所、幼儿园的生活用房应布置在当地最好日照方位，并满足冬至日底层满窗日照不少于3h（小时）的要求。</w:t>
      </w:r>
    </w:p>
    <w:p w14:paraId="19906652">
      <w:pPr>
        <w:pStyle w:val="44"/>
        <w:spacing w:line="580" w:lineRule="exact"/>
      </w:pPr>
      <w:r>
        <w:rPr>
          <w:rFonts w:hint="eastAsia"/>
        </w:rPr>
        <w:t>小学教学楼南向的普通教室冬至日底层满窗日照不应小于2h。</w:t>
      </w:r>
    </w:p>
    <w:p w14:paraId="29C88E67">
      <w:pPr>
        <w:pStyle w:val="44"/>
        <w:spacing w:line="580" w:lineRule="exact"/>
      </w:pPr>
      <w:r>
        <w:rPr>
          <w:rFonts w:hint="eastAsia"/>
        </w:rPr>
        <w:t>③旧区改造难一直是我国城乡建设中一大突出问题，因此，规定旧区改造中的日照标准可酌情降低，这是指在改造过程中因多种原因确实难以达到规定标准才能这样做。但仍然必须保证至少不低于大寒日1小时的日照标准。</w:t>
      </w:r>
    </w:p>
    <w:p w14:paraId="6B70A8EE">
      <w:pPr>
        <w:pStyle w:val="37"/>
        <w:spacing w:line="580" w:lineRule="exact"/>
        <w:ind w:firstLine="560"/>
        <w:rPr>
          <w:sz w:val="28"/>
          <w:szCs w:val="28"/>
        </w:rPr>
      </w:pPr>
      <w:r>
        <w:rPr>
          <w:rFonts w:hint="eastAsia"/>
          <w:sz w:val="28"/>
          <w:szCs w:val="28"/>
        </w:rPr>
        <w:t>2）建筑组群</w:t>
      </w:r>
    </w:p>
    <w:p w14:paraId="69A7E66E">
      <w:pPr>
        <w:pStyle w:val="37"/>
        <w:spacing w:line="580" w:lineRule="exact"/>
        <w:ind w:firstLine="560"/>
        <w:rPr>
          <w:sz w:val="28"/>
          <w:szCs w:val="28"/>
        </w:rPr>
      </w:pPr>
      <w:r>
        <w:rPr>
          <w:rFonts w:hint="eastAsia"/>
          <w:sz w:val="28"/>
          <w:szCs w:val="28"/>
        </w:rPr>
        <w:t>提出城区中重要区域的建筑组群空间环境控制原则，控制标志性建筑的位置和高度，提出核心商业区、行政办公、居住区等建筑样式和高度控制范围，以及控制沿街界面的轮廓线起伏。</w:t>
      </w:r>
    </w:p>
    <w:p w14:paraId="4DA0C115">
      <w:pPr>
        <w:pStyle w:val="37"/>
        <w:spacing w:line="580" w:lineRule="exact"/>
        <w:ind w:firstLine="560"/>
        <w:rPr>
          <w:sz w:val="28"/>
          <w:szCs w:val="28"/>
        </w:rPr>
      </w:pPr>
      <w:r>
        <w:rPr>
          <w:rFonts w:hint="eastAsia"/>
          <w:sz w:val="28"/>
          <w:szCs w:val="28"/>
        </w:rPr>
        <w:t>3）公共空间</w:t>
      </w:r>
    </w:p>
    <w:p w14:paraId="23266DA3">
      <w:pPr>
        <w:pStyle w:val="37"/>
        <w:spacing w:line="580" w:lineRule="exact"/>
        <w:ind w:firstLine="560"/>
        <w:rPr>
          <w:sz w:val="28"/>
          <w:szCs w:val="28"/>
        </w:rPr>
      </w:pPr>
      <w:r>
        <w:rPr>
          <w:rFonts w:hint="eastAsia"/>
          <w:sz w:val="28"/>
          <w:szCs w:val="28"/>
        </w:rPr>
        <w:t>本次控规为了创造完整的、可利用的公共空间，进行多地块联合控制，有限确定公共空间的位置、面积，再反向修正各地块的建筑密度和位置。具体控制为在控规分图则中确定的公共空间定位，并针对性的提出公共空间控制具体要求。</w:t>
      </w:r>
    </w:p>
    <w:p w14:paraId="5BEA106C">
      <w:pPr>
        <w:pStyle w:val="38"/>
        <w:numPr>
          <w:ilvl w:val="0"/>
          <w:numId w:val="14"/>
        </w:numPr>
        <w:spacing w:before="0" w:beforeLines="0" w:after="0" w:afterLines="0" w:line="580" w:lineRule="exact"/>
        <w:rPr>
          <w:rFonts w:ascii="黑体" w:hAnsi="黑体"/>
          <w:b/>
        </w:rPr>
      </w:pPr>
      <w:bookmarkStart w:id="145" w:name="_Toc528317066"/>
      <w:r>
        <w:rPr>
          <w:rFonts w:hint="eastAsia" w:ascii="黑体" w:hAnsi="黑体"/>
          <w:b/>
        </w:rPr>
        <w:t>土地使用规划控制</w:t>
      </w:r>
      <w:bookmarkEnd w:id="145"/>
    </w:p>
    <w:p w14:paraId="40EB3C7B">
      <w:pPr>
        <w:pStyle w:val="37"/>
        <w:spacing w:line="580" w:lineRule="exact"/>
        <w:ind w:firstLine="560"/>
        <w:rPr>
          <w:sz w:val="28"/>
          <w:szCs w:val="28"/>
        </w:rPr>
      </w:pPr>
      <w:bookmarkStart w:id="146" w:name="_Toc373153442"/>
      <w:bookmarkStart w:id="147" w:name="_Toc420334621"/>
      <w:bookmarkStart w:id="148" w:name="_Toc373153515"/>
      <w:r>
        <w:rPr>
          <w:rFonts w:hint="eastAsia"/>
          <w:sz w:val="28"/>
          <w:szCs w:val="28"/>
        </w:rPr>
        <w:t>(一)土地使用</w:t>
      </w:r>
      <w:bookmarkEnd w:id="146"/>
      <w:bookmarkEnd w:id="147"/>
      <w:bookmarkEnd w:id="148"/>
    </w:p>
    <w:p w14:paraId="6A15D5B2">
      <w:pPr>
        <w:pStyle w:val="37"/>
        <w:spacing w:line="580" w:lineRule="exact"/>
        <w:ind w:firstLine="560"/>
        <w:rPr>
          <w:sz w:val="28"/>
          <w:szCs w:val="28"/>
        </w:rPr>
      </w:pPr>
      <w:r>
        <w:rPr>
          <w:rFonts w:hint="eastAsia"/>
          <w:sz w:val="28"/>
          <w:szCs w:val="28"/>
        </w:rPr>
        <w:t>根据现状分析，本规划制定地块划分原则如下：</w:t>
      </w:r>
    </w:p>
    <w:p w14:paraId="1C8934D5">
      <w:pPr>
        <w:pStyle w:val="37"/>
        <w:spacing w:line="580" w:lineRule="exact"/>
        <w:ind w:firstLine="560"/>
        <w:rPr>
          <w:sz w:val="28"/>
          <w:szCs w:val="28"/>
        </w:rPr>
      </w:pPr>
      <w:r>
        <w:rPr>
          <w:rFonts w:hint="eastAsia"/>
          <w:sz w:val="28"/>
          <w:szCs w:val="28"/>
        </w:rPr>
        <w:t>1、用地根据开发方式和管理方式的需要划分地块，单独开发的地块面积不得小于2000平米。</w:t>
      </w:r>
    </w:p>
    <w:p w14:paraId="2F627459">
      <w:pPr>
        <w:pStyle w:val="37"/>
        <w:spacing w:line="580" w:lineRule="exact"/>
        <w:ind w:firstLine="560"/>
        <w:rPr>
          <w:sz w:val="28"/>
          <w:szCs w:val="28"/>
        </w:rPr>
      </w:pPr>
      <w:r>
        <w:rPr>
          <w:rFonts w:hint="eastAsia"/>
          <w:sz w:val="28"/>
          <w:szCs w:val="28"/>
        </w:rPr>
        <w:t>2、充分尊重现状土地权属，以现状单位用地范围线划分地块，用地规模太小的现状单位采取统一开发的模式划分地块。</w:t>
      </w:r>
    </w:p>
    <w:p w14:paraId="26F38AE1">
      <w:pPr>
        <w:pStyle w:val="37"/>
        <w:spacing w:line="580" w:lineRule="exact"/>
        <w:ind w:firstLine="560"/>
        <w:rPr>
          <w:sz w:val="28"/>
          <w:szCs w:val="28"/>
        </w:rPr>
      </w:pPr>
      <w:r>
        <w:rPr>
          <w:rFonts w:hint="eastAsia"/>
          <w:sz w:val="28"/>
          <w:szCs w:val="28"/>
        </w:rPr>
        <w:t>3、尽量保证地块性质的单一性；并兼顾在规划实施中地块合并或细分可能性。</w:t>
      </w:r>
    </w:p>
    <w:p w14:paraId="2AC4CB53">
      <w:pPr>
        <w:pStyle w:val="37"/>
        <w:spacing w:line="580" w:lineRule="exact"/>
        <w:ind w:firstLine="560"/>
        <w:rPr>
          <w:sz w:val="28"/>
          <w:szCs w:val="28"/>
        </w:rPr>
      </w:pPr>
      <w:bookmarkStart w:id="149" w:name="_Toc373153443"/>
      <w:bookmarkStart w:id="150" w:name="_Toc373153516"/>
      <w:bookmarkStart w:id="151" w:name="_Toc420334622"/>
      <w:r>
        <w:rPr>
          <w:rFonts w:hint="eastAsia"/>
          <w:sz w:val="28"/>
          <w:szCs w:val="28"/>
        </w:rPr>
        <w:t>(二)</w:t>
      </w:r>
      <w:r>
        <w:rPr>
          <w:sz w:val="28"/>
          <w:szCs w:val="28"/>
        </w:rPr>
        <w:t>地块编码</w:t>
      </w:r>
      <w:bookmarkEnd w:id="149"/>
      <w:bookmarkEnd w:id="150"/>
      <w:bookmarkEnd w:id="151"/>
    </w:p>
    <w:p w14:paraId="7C720103">
      <w:pPr>
        <w:pStyle w:val="37"/>
        <w:spacing w:line="580" w:lineRule="exact"/>
        <w:ind w:firstLine="560"/>
        <w:rPr>
          <w:sz w:val="28"/>
          <w:szCs w:val="28"/>
        </w:rPr>
      </w:pPr>
      <w:r>
        <w:rPr>
          <w:sz w:val="28"/>
          <w:szCs w:val="28"/>
        </w:rPr>
        <w:t>地块编码由大的单元</w:t>
      </w:r>
      <w:r>
        <w:rPr>
          <w:rFonts w:hint="eastAsia"/>
          <w:sz w:val="28"/>
          <w:szCs w:val="28"/>
        </w:rPr>
        <w:t>——</w:t>
      </w:r>
      <w:r>
        <w:rPr>
          <w:sz w:val="28"/>
          <w:szCs w:val="28"/>
        </w:rPr>
        <w:t>街坊编号</w:t>
      </w:r>
      <w:r>
        <w:rPr>
          <w:rFonts w:hint="eastAsia"/>
          <w:sz w:val="28"/>
          <w:szCs w:val="28"/>
        </w:rPr>
        <w:t>——</w:t>
      </w:r>
      <w:r>
        <w:rPr>
          <w:sz w:val="28"/>
          <w:szCs w:val="28"/>
        </w:rPr>
        <w:t>地块编号三部分组成，地块按土地使用性质及现状土地产权归属等划分。地块原则上按一个独立用地性质的地块为编码单位，即一个用地编码代表一个地块，用地性质代表地块使用主导性质。</w:t>
      </w:r>
    </w:p>
    <w:p w14:paraId="01C2828C">
      <w:pPr>
        <w:pStyle w:val="37"/>
        <w:spacing w:line="580" w:lineRule="exact"/>
        <w:ind w:firstLine="560"/>
        <w:rPr>
          <w:sz w:val="28"/>
          <w:szCs w:val="28"/>
        </w:rPr>
      </w:pPr>
      <w:r>
        <w:rPr>
          <w:rFonts w:hint="eastAsia"/>
          <w:sz w:val="28"/>
          <w:szCs w:val="28"/>
        </w:rPr>
        <w:t>规划根据城市用地规划和区位关系将规划区划分为3个主要的单元，并按A-C命名，单元内以整个地块或联系紧密地块为街坊编号，地块为第三级编号，根据用地界线划分确定，详见地块编码索引图。</w:t>
      </w:r>
    </w:p>
    <w:p w14:paraId="005A4C6D">
      <w:pPr>
        <w:pStyle w:val="37"/>
        <w:spacing w:line="580" w:lineRule="exact"/>
        <w:ind w:firstLine="560"/>
        <w:rPr>
          <w:sz w:val="28"/>
          <w:szCs w:val="28"/>
        </w:rPr>
      </w:pPr>
      <w:bookmarkStart w:id="152" w:name="_Toc373153444"/>
      <w:bookmarkStart w:id="153" w:name="_Toc373153517"/>
      <w:bookmarkStart w:id="154" w:name="_Toc420334623"/>
      <w:r>
        <w:rPr>
          <w:rFonts w:hint="eastAsia"/>
          <w:sz w:val="28"/>
          <w:szCs w:val="28"/>
        </w:rPr>
        <w:t>(三)</w:t>
      </w:r>
      <w:r>
        <w:rPr>
          <w:sz w:val="28"/>
          <w:szCs w:val="28"/>
        </w:rPr>
        <w:t>土地使用兼容性规定</w:t>
      </w:r>
      <w:bookmarkEnd w:id="152"/>
      <w:bookmarkEnd w:id="153"/>
      <w:bookmarkEnd w:id="154"/>
    </w:p>
    <w:p w14:paraId="5429D3B8">
      <w:pPr>
        <w:pStyle w:val="37"/>
        <w:spacing w:line="580" w:lineRule="exact"/>
        <w:ind w:firstLine="560"/>
        <w:rPr>
          <w:sz w:val="28"/>
          <w:szCs w:val="28"/>
        </w:rPr>
      </w:pPr>
      <w:r>
        <w:rPr>
          <w:sz w:val="28"/>
          <w:szCs w:val="28"/>
        </w:rPr>
        <w:t>本次规划规定了各地块的使用性质，作为土地开发的依据。</w:t>
      </w:r>
    </w:p>
    <w:p w14:paraId="28B12FE4">
      <w:pPr>
        <w:pStyle w:val="37"/>
        <w:spacing w:line="580" w:lineRule="exact"/>
        <w:ind w:firstLine="560"/>
        <w:rPr>
          <w:sz w:val="28"/>
          <w:szCs w:val="28"/>
        </w:rPr>
      </w:pPr>
      <w:r>
        <w:rPr>
          <w:sz w:val="28"/>
          <w:szCs w:val="28"/>
        </w:rPr>
        <w:t>规划还允许各地块在建设实施过程中对用地性质作不同程度的调整和限制，文本附表中详细规定了允许兼容或禁止替换的用地性质。</w:t>
      </w:r>
    </w:p>
    <w:p w14:paraId="3D00B7B3">
      <w:pPr>
        <w:pStyle w:val="37"/>
        <w:spacing w:line="580" w:lineRule="exact"/>
        <w:ind w:firstLine="560"/>
        <w:rPr>
          <w:sz w:val="28"/>
          <w:szCs w:val="28"/>
        </w:rPr>
      </w:pPr>
      <w:bookmarkStart w:id="155" w:name="_Toc420334624"/>
      <w:bookmarkStart w:id="156" w:name="_Toc373153445"/>
      <w:bookmarkStart w:id="157" w:name="_Toc373153518"/>
      <w:r>
        <w:rPr>
          <w:rFonts w:hint="eastAsia"/>
          <w:sz w:val="28"/>
          <w:szCs w:val="28"/>
        </w:rPr>
        <w:t>(四)地块合并和细分</w:t>
      </w:r>
      <w:bookmarkEnd w:id="155"/>
      <w:bookmarkEnd w:id="156"/>
      <w:bookmarkEnd w:id="157"/>
    </w:p>
    <w:p w14:paraId="4F86A43A">
      <w:pPr>
        <w:pStyle w:val="37"/>
        <w:spacing w:line="580" w:lineRule="exact"/>
        <w:ind w:firstLine="560"/>
        <w:rPr>
          <w:sz w:val="28"/>
          <w:szCs w:val="28"/>
        </w:rPr>
      </w:pPr>
      <w:r>
        <w:rPr>
          <w:sz w:val="28"/>
          <w:szCs w:val="28"/>
        </w:rPr>
        <w:t>规划允许在改造建设实施过程中，对划定的地块进行合并或细分。</w:t>
      </w:r>
    </w:p>
    <w:p w14:paraId="65AC0EA3">
      <w:pPr>
        <w:pStyle w:val="37"/>
        <w:spacing w:line="580" w:lineRule="exact"/>
        <w:ind w:firstLine="560"/>
        <w:rPr>
          <w:sz w:val="28"/>
          <w:szCs w:val="28"/>
        </w:rPr>
      </w:pPr>
      <w:r>
        <w:rPr>
          <w:sz w:val="28"/>
          <w:szCs w:val="28"/>
        </w:rPr>
        <w:t>在成片改造建设过程中，由于特殊情况，允许合并部分地块，</w:t>
      </w:r>
      <w:r>
        <w:rPr>
          <w:rFonts w:hint="eastAsia"/>
          <w:sz w:val="28"/>
          <w:szCs w:val="28"/>
        </w:rPr>
        <w:t>相邻地块合并开发时，应保证整体开发的强度与建设总量与地块合并前相同，</w:t>
      </w:r>
      <w:r>
        <w:rPr>
          <w:sz w:val="28"/>
          <w:szCs w:val="28"/>
        </w:rPr>
        <w:t>规划调整向规划主管部门申请批准。地块合并首先应满足同类性质地块间的合并，不能导致规划区内各类配套设施的减少和变更。</w:t>
      </w:r>
    </w:p>
    <w:p w14:paraId="12FB5114">
      <w:pPr>
        <w:pStyle w:val="37"/>
        <w:spacing w:line="580" w:lineRule="exact"/>
        <w:ind w:firstLine="560"/>
        <w:rPr>
          <w:sz w:val="28"/>
          <w:szCs w:val="28"/>
        </w:rPr>
      </w:pPr>
      <w:r>
        <w:rPr>
          <w:sz w:val="28"/>
          <w:szCs w:val="28"/>
        </w:rPr>
        <w:t>对于规模较</w:t>
      </w:r>
      <w:r>
        <w:rPr>
          <w:rFonts w:hint="eastAsia"/>
          <w:sz w:val="28"/>
          <w:szCs w:val="28"/>
        </w:rPr>
        <w:t>大</w:t>
      </w:r>
      <w:r>
        <w:rPr>
          <w:sz w:val="28"/>
          <w:szCs w:val="28"/>
        </w:rPr>
        <w:t>的项目，在建设过程中允许将部分地块细分成两个以上地块，其原则也必须先满足同类性质</w:t>
      </w:r>
      <w:r>
        <w:rPr>
          <w:rFonts w:hint="eastAsia"/>
          <w:sz w:val="28"/>
          <w:szCs w:val="28"/>
        </w:rPr>
        <w:t>相兼容的</w:t>
      </w:r>
      <w:r>
        <w:rPr>
          <w:sz w:val="28"/>
          <w:szCs w:val="28"/>
        </w:rPr>
        <w:t>要求。</w:t>
      </w:r>
    </w:p>
    <w:p w14:paraId="1290E340">
      <w:pPr>
        <w:pStyle w:val="37"/>
        <w:spacing w:line="580" w:lineRule="exact"/>
        <w:ind w:firstLine="560"/>
        <w:rPr>
          <w:sz w:val="28"/>
          <w:szCs w:val="28"/>
        </w:rPr>
      </w:pPr>
      <w:r>
        <w:rPr>
          <w:rFonts w:hint="eastAsia"/>
          <w:sz w:val="28"/>
          <w:szCs w:val="28"/>
        </w:rPr>
        <w:t>合并或细分后的地块在总体指标控制上仍以原地块为标准，在各控制指标总量不变的情况下可在地块内进行平衡。</w:t>
      </w:r>
    </w:p>
    <w:p w14:paraId="6D871189">
      <w:pPr>
        <w:pStyle w:val="37"/>
        <w:spacing w:line="580" w:lineRule="exact"/>
        <w:ind w:firstLine="560"/>
        <w:rPr>
          <w:sz w:val="28"/>
          <w:szCs w:val="28"/>
        </w:rPr>
      </w:pPr>
      <w:bookmarkStart w:id="158" w:name="_Toc373153446"/>
      <w:bookmarkStart w:id="159" w:name="_Toc373153519"/>
      <w:bookmarkStart w:id="160" w:name="_Toc420334625"/>
      <w:r>
        <w:rPr>
          <w:rFonts w:hint="eastAsia"/>
          <w:sz w:val="28"/>
          <w:szCs w:val="28"/>
        </w:rPr>
        <w:t>(五)公共空间奖励</w:t>
      </w:r>
      <w:bookmarkEnd w:id="158"/>
      <w:bookmarkEnd w:id="159"/>
      <w:bookmarkEnd w:id="160"/>
    </w:p>
    <w:p w14:paraId="578B68EE">
      <w:pPr>
        <w:pStyle w:val="37"/>
        <w:spacing w:line="580" w:lineRule="exact"/>
        <w:ind w:firstLine="560"/>
        <w:rPr>
          <w:sz w:val="28"/>
          <w:szCs w:val="28"/>
        </w:rPr>
      </w:pPr>
      <w:r>
        <w:rPr>
          <w:rFonts w:hint="eastAsia"/>
          <w:sz w:val="28"/>
          <w:szCs w:val="28"/>
        </w:rPr>
        <w:t>自愿在建设用地范围内开辟公共开放空间，无偿提供给城市管理部门管理、供市民使用，经向城市规划行政主管部门申请批准后增加的建筑面积。</w:t>
      </w:r>
    </w:p>
    <w:p w14:paraId="285C5BEE">
      <w:pPr>
        <w:pStyle w:val="37"/>
        <w:spacing w:line="580" w:lineRule="exact"/>
        <w:ind w:firstLine="560"/>
        <w:rPr>
          <w:sz w:val="28"/>
          <w:szCs w:val="28"/>
        </w:rPr>
      </w:pPr>
      <w:r>
        <w:rPr>
          <w:rFonts w:hint="eastAsia"/>
          <w:sz w:val="28"/>
          <w:szCs w:val="28"/>
        </w:rPr>
        <w:t>在下列地区内，鼓励用地单位开辟公共空间：</w:t>
      </w:r>
    </w:p>
    <w:p w14:paraId="24DE63E8">
      <w:pPr>
        <w:pStyle w:val="37"/>
        <w:spacing w:line="580" w:lineRule="exact"/>
        <w:ind w:firstLine="560"/>
        <w:rPr>
          <w:sz w:val="28"/>
          <w:szCs w:val="28"/>
        </w:rPr>
      </w:pPr>
      <w:r>
        <w:rPr>
          <w:rFonts w:hint="eastAsia"/>
          <w:sz w:val="28"/>
          <w:szCs w:val="28"/>
        </w:rPr>
        <w:t>1、城市主干道、次干道两侧，人流密度较大地区。</w:t>
      </w:r>
    </w:p>
    <w:p w14:paraId="4C00B75E">
      <w:pPr>
        <w:pStyle w:val="37"/>
        <w:spacing w:line="580" w:lineRule="exact"/>
        <w:ind w:firstLine="560"/>
        <w:rPr>
          <w:sz w:val="28"/>
          <w:szCs w:val="28"/>
        </w:rPr>
      </w:pPr>
      <w:r>
        <w:rPr>
          <w:rFonts w:hint="eastAsia"/>
          <w:sz w:val="28"/>
          <w:szCs w:val="28"/>
        </w:rPr>
        <w:t>2、与公共设施相邻地区</w:t>
      </w:r>
    </w:p>
    <w:p w14:paraId="657AE6D8">
      <w:pPr>
        <w:pStyle w:val="37"/>
        <w:spacing w:line="580" w:lineRule="exact"/>
        <w:ind w:firstLine="560"/>
        <w:rPr>
          <w:sz w:val="28"/>
          <w:szCs w:val="28"/>
        </w:rPr>
      </w:pPr>
      <w:r>
        <w:rPr>
          <w:rFonts w:hint="eastAsia"/>
          <w:sz w:val="28"/>
          <w:szCs w:val="28"/>
        </w:rPr>
        <w:t>（六）总体规模控制</w:t>
      </w:r>
    </w:p>
    <w:p w14:paraId="54591ECE">
      <w:pPr>
        <w:pStyle w:val="37"/>
        <w:spacing w:line="580" w:lineRule="exact"/>
        <w:ind w:firstLine="560"/>
        <w:rPr>
          <w:sz w:val="28"/>
          <w:szCs w:val="28"/>
        </w:rPr>
      </w:pPr>
      <w:r>
        <w:rPr>
          <w:rFonts w:hint="eastAsia"/>
          <w:sz w:val="28"/>
          <w:szCs w:val="28"/>
        </w:rPr>
        <w:t>陵川县城区的用地规模为1043.43公顷。在城市发展过程中，随着市场及相关政策的不断变化，局部用地会出现与发展的不协调。为提高规划的可操作性，本规划确定：城区开发时应在保证总用地规模不变的情况下，对城市的更新与发展分期进行，可以对六线控制之外的用地进行置换。置换时，可以在城区内或城区与发展备用地之间进行置换，并应保证置换的用地性质、规模保持一致。</w:t>
      </w:r>
      <w:r>
        <w:rPr>
          <w:sz w:val="28"/>
          <w:szCs w:val="28"/>
        </w:rPr>
        <w:t>规划调整</w:t>
      </w:r>
      <w:r>
        <w:rPr>
          <w:rFonts w:hint="eastAsia"/>
          <w:sz w:val="28"/>
          <w:szCs w:val="28"/>
        </w:rPr>
        <w:t>应</w:t>
      </w:r>
      <w:r>
        <w:rPr>
          <w:sz w:val="28"/>
          <w:szCs w:val="28"/>
        </w:rPr>
        <w:t>向规划主管部门申请批准</w:t>
      </w:r>
      <w:r>
        <w:rPr>
          <w:rFonts w:hint="eastAsia"/>
          <w:sz w:val="28"/>
          <w:szCs w:val="28"/>
        </w:rPr>
        <w:t>。</w:t>
      </w:r>
    </w:p>
    <w:p w14:paraId="2CB29FED">
      <w:pPr>
        <w:spacing w:line="580" w:lineRule="exact"/>
        <w:rPr>
          <w:rFonts w:ascii="宋体" w:hAnsi="宋体"/>
          <w:sz w:val="28"/>
          <w:szCs w:val="28"/>
        </w:rPr>
      </w:pPr>
    </w:p>
    <w:p w14:paraId="385B1A4B">
      <w:pPr>
        <w:spacing w:line="580" w:lineRule="exact"/>
        <w:rPr>
          <w:rFonts w:ascii="宋体" w:hAnsi="宋体"/>
          <w:sz w:val="28"/>
          <w:szCs w:val="28"/>
        </w:rPr>
      </w:pPr>
    </w:p>
    <w:p w14:paraId="1794D437">
      <w:pPr>
        <w:spacing w:line="580" w:lineRule="exact"/>
        <w:rPr>
          <w:rFonts w:ascii="宋体" w:hAnsi="宋体"/>
          <w:sz w:val="28"/>
          <w:szCs w:val="28"/>
        </w:rPr>
        <w:sectPr>
          <w:pgSz w:w="23814" w:h="16840" w:orient="landscape"/>
          <w:pgMar w:top="1985" w:right="1701" w:bottom="1701" w:left="2268" w:header="1134" w:footer="1134" w:gutter="0"/>
          <w:cols w:space="2109" w:num="2"/>
          <w:docGrid w:type="lines" w:linePitch="312" w:charSpace="-3603"/>
        </w:sectPr>
      </w:pPr>
    </w:p>
    <w:p w14:paraId="4F8C9C80">
      <w:pPr>
        <w:pStyle w:val="40"/>
        <w:numPr>
          <w:ilvl w:val="0"/>
          <w:numId w:val="0"/>
        </w:numPr>
        <w:spacing w:afterLines="0" w:line="580" w:lineRule="exact"/>
        <w:jc w:val="center"/>
        <w:rPr>
          <w:rFonts w:ascii="宋体" w:hAnsi="宋体" w:cs="黑体"/>
          <w:b/>
          <w:sz w:val="28"/>
          <w:szCs w:val="28"/>
        </w:rPr>
      </w:pPr>
      <w:r>
        <w:rPr>
          <w:rFonts w:hint="eastAsia" w:ascii="宋体" w:hAnsi="宋体" w:cs="黑体"/>
          <w:b/>
          <w:sz w:val="28"/>
          <w:szCs w:val="28"/>
        </w:rPr>
        <w:t>表18</w:t>
      </w:r>
      <w:r>
        <w:rPr>
          <w:rFonts w:ascii="宋体" w:hAnsi="宋体" w:cs="黑体"/>
          <w:b/>
          <w:sz w:val="28"/>
          <w:szCs w:val="28"/>
        </w:rPr>
        <w:t xml:space="preserve">  </w:t>
      </w:r>
      <w:r>
        <w:rPr>
          <w:rFonts w:hint="eastAsia" w:ascii="宋体" w:hAnsi="宋体" w:cs="黑体"/>
          <w:b/>
          <w:sz w:val="28"/>
          <w:szCs w:val="28"/>
        </w:rPr>
        <w:t>建设用地兼容性一览表</w:t>
      </w:r>
    </w:p>
    <w:tbl>
      <w:tblPr>
        <w:tblStyle w:val="21"/>
        <w:tblW w:w="1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92"/>
        <w:gridCol w:w="1577"/>
        <w:gridCol w:w="1134"/>
        <w:gridCol w:w="992"/>
        <w:gridCol w:w="992"/>
        <w:gridCol w:w="992"/>
        <w:gridCol w:w="930"/>
        <w:gridCol w:w="930"/>
        <w:gridCol w:w="993"/>
        <w:gridCol w:w="1204"/>
        <w:gridCol w:w="689"/>
        <w:gridCol w:w="867"/>
        <w:gridCol w:w="784"/>
        <w:gridCol w:w="1022"/>
        <w:gridCol w:w="784"/>
        <w:gridCol w:w="1526"/>
        <w:gridCol w:w="1217"/>
        <w:gridCol w:w="756"/>
        <w:gridCol w:w="700"/>
        <w:gridCol w:w="658"/>
      </w:tblGrid>
      <w:tr w14:paraId="0E649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2" w:hRule="atLeast"/>
          <w:jc w:val="center"/>
        </w:trPr>
        <w:tc>
          <w:tcPr>
            <w:tcW w:w="2569" w:type="dxa"/>
            <w:gridSpan w:val="2"/>
            <w:vMerge w:val="restart"/>
            <w:vAlign w:val="center"/>
          </w:tcPr>
          <w:p w14:paraId="0CA8FA4E">
            <w:pPr>
              <w:pStyle w:val="48"/>
              <w:jc w:val="right"/>
            </w:pPr>
            <w:r>
              <mc:AlternateContent>
                <mc:Choice Requires="wps">
                  <w:drawing>
                    <wp:anchor distT="0" distB="0" distL="114300" distR="114300" simplePos="0" relativeHeight="251682816" behindDoc="0" locked="0" layoutInCell="1" allowOverlap="1">
                      <wp:simplePos x="0" y="0"/>
                      <wp:positionH relativeFrom="column">
                        <wp:posOffset>8890</wp:posOffset>
                      </wp:positionH>
                      <wp:positionV relativeFrom="paragraph">
                        <wp:posOffset>-6985</wp:posOffset>
                      </wp:positionV>
                      <wp:extent cx="1626235" cy="999490"/>
                      <wp:effectExtent l="9525" t="15240" r="12065" b="13970"/>
                      <wp:wrapNone/>
                      <wp:docPr id="4" name="自选图形 2"/>
                      <wp:cNvGraphicFramePr/>
                      <a:graphic xmlns:a="http://schemas.openxmlformats.org/drawingml/2006/main">
                        <a:graphicData uri="http://schemas.microsoft.com/office/word/2010/wordprocessingShape">
                          <wps:wsp>
                            <wps:cNvCnPr>
                              <a:cxnSpLocks noChangeShapeType="1"/>
                            </wps:cNvCnPr>
                            <wps:spPr bwMode="auto">
                              <a:xfrm>
                                <a:off x="0" y="0"/>
                                <a:ext cx="1626235" cy="999490"/>
                              </a:xfrm>
                              <a:prstGeom prst="straightConnector1">
                                <a:avLst/>
                              </a:prstGeom>
                              <a:noFill/>
                              <a:ln w="12700">
                                <a:solidFill>
                                  <a:srgbClr val="000000"/>
                                </a:solidFill>
                                <a:round/>
                              </a:ln>
                              <a:effectLst/>
                            </wps:spPr>
                            <wps:bodyPr/>
                          </wps:wsp>
                        </a:graphicData>
                      </a:graphic>
                    </wp:anchor>
                  </w:drawing>
                </mc:Choice>
                <mc:Fallback>
                  <w:pict>
                    <v:shape id="自选图形 2" o:spid="_x0000_s1026" o:spt="32" type="#_x0000_t32" style="position:absolute;left:0pt;margin-left:0.7pt;margin-top:-0.55pt;height:78.7pt;width:128.05pt;z-index:251682816;mso-width-relative:page;mso-height-relative:page;" filled="f" stroked="t" coordsize="21600,21600" o:gfxdata="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NhJnl1AAAAAgBAAAPAAAAAAAAAAEAIAAAACIAAABkcnMvZG93bnJldi54bWxQSwEC&#10;FAAUAAAACACHTuJA4iTddfgBAADJAwAADgAAAAAAAAABACAAAAAjAQAAZHJzL2Uyb0RvYy54bWxQ&#10;SwUGAAAAAAYABgBZAQAAjQUAAAAA&#10;">
                      <v:fill on="f" focussize="0,0"/>
                      <v:stroke weight="1pt" color="#000000" joinstyle="round"/>
                      <v:imagedata o:title=""/>
                      <o:lock v:ext="edit" aspectratio="f"/>
                    </v:shape>
                  </w:pict>
                </mc:Fallback>
              </mc:AlternateContent>
            </w:r>
            <w:r>
              <w:rPr>
                <w:rFonts w:hint="eastAsia"/>
              </w:rPr>
              <w:t>主导用地性质</w:t>
            </w:r>
          </w:p>
          <w:p w14:paraId="653A2ACF">
            <w:pPr>
              <w:pStyle w:val="48"/>
            </w:pPr>
          </w:p>
          <w:p w14:paraId="3FB2AFC3">
            <w:pPr>
              <w:pStyle w:val="48"/>
            </w:pPr>
          </w:p>
          <w:p w14:paraId="2095BA6A">
            <w:pPr>
              <w:pStyle w:val="48"/>
            </w:pPr>
          </w:p>
          <w:p w14:paraId="60AB20CD">
            <w:pPr>
              <w:pStyle w:val="48"/>
              <w:jc w:val="both"/>
            </w:pPr>
            <w:r>
              <w:rPr>
                <w:rFonts w:hint="eastAsia"/>
              </w:rPr>
              <w:t>兼容用地性质</w:t>
            </w:r>
          </w:p>
        </w:tc>
        <w:tc>
          <w:tcPr>
            <w:tcW w:w="1134" w:type="dxa"/>
            <w:tcMar>
              <w:top w:w="15" w:type="dxa"/>
              <w:left w:w="36" w:type="dxa"/>
              <w:bottom w:w="0" w:type="dxa"/>
              <w:right w:w="36" w:type="dxa"/>
            </w:tcMar>
            <w:vAlign w:val="center"/>
          </w:tcPr>
          <w:p w14:paraId="79E5AE41">
            <w:pPr>
              <w:pStyle w:val="48"/>
            </w:pPr>
            <w:r>
              <w:rPr>
                <w:rFonts w:hint="eastAsia"/>
              </w:rPr>
              <w:t>大类</w:t>
            </w:r>
          </w:p>
        </w:tc>
        <w:tc>
          <w:tcPr>
            <w:tcW w:w="992" w:type="dxa"/>
            <w:tcMar>
              <w:top w:w="15" w:type="dxa"/>
              <w:left w:w="36" w:type="dxa"/>
              <w:bottom w:w="0" w:type="dxa"/>
              <w:right w:w="36" w:type="dxa"/>
            </w:tcMar>
            <w:vAlign w:val="center"/>
          </w:tcPr>
          <w:p w14:paraId="09C85953">
            <w:pPr>
              <w:pStyle w:val="48"/>
            </w:pPr>
            <w:r>
              <w:rPr>
                <w:rFonts w:hint="eastAsia"/>
              </w:rPr>
              <w:t>居住用地</w:t>
            </w:r>
          </w:p>
          <w:p w14:paraId="254784CE">
            <w:pPr>
              <w:pStyle w:val="48"/>
            </w:pPr>
            <w:r>
              <w:rPr>
                <w:rFonts w:hint="eastAsia"/>
              </w:rPr>
              <w:t>（R）</w:t>
            </w:r>
          </w:p>
        </w:tc>
        <w:tc>
          <w:tcPr>
            <w:tcW w:w="1984" w:type="dxa"/>
            <w:gridSpan w:val="2"/>
            <w:tcMar>
              <w:top w:w="15" w:type="dxa"/>
              <w:left w:w="36" w:type="dxa"/>
              <w:bottom w:w="0" w:type="dxa"/>
              <w:right w:w="36" w:type="dxa"/>
            </w:tcMar>
            <w:vAlign w:val="center"/>
          </w:tcPr>
          <w:p w14:paraId="3003B7F9">
            <w:pPr>
              <w:pStyle w:val="48"/>
            </w:pPr>
            <w:r>
              <w:rPr>
                <w:rFonts w:hint="eastAsia"/>
              </w:rPr>
              <w:t>科研用地</w:t>
            </w:r>
          </w:p>
          <w:p w14:paraId="70F0403B">
            <w:pPr>
              <w:pStyle w:val="48"/>
            </w:pPr>
            <w:r>
              <w:rPr>
                <w:rFonts w:hint="eastAsia"/>
              </w:rPr>
              <w:t>B29（A35</w:t>
            </w:r>
            <w:r>
              <w:t>）</w:t>
            </w:r>
          </w:p>
        </w:tc>
        <w:tc>
          <w:tcPr>
            <w:tcW w:w="5613" w:type="dxa"/>
            <w:gridSpan w:val="6"/>
            <w:tcMar>
              <w:top w:w="15" w:type="dxa"/>
              <w:left w:w="36" w:type="dxa"/>
              <w:bottom w:w="0" w:type="dxa"/>
              <w:right w:w="36" w:type="dxa"/>
            </w:tcMar>
            <w:vAlign w:val="center"/>
          </w:tcPr>
          <w:p w14:paraId="5CBE678F">
            <w:pPr>
              <w:pStyle w:val="48"/>
            </w:pPr>
            <w:r>
              <w:t>公共管理与公共服务设施用地</w:t>
            </w:r>
          </w:p>
          <w:p w14:paraId="2037C7F4">
            <w:pPr>
              <w:pStyle w:val="48"/>
            </w:pPr>
            <w:r>
              <w:rPr>
                <w:rFonts w:hint="eastAsia"/>
              </w:rPr>
              <w:t>（A</w:t>
            </w:r>
            <w:r>
              <w:t>）</w:t>
            </w:r>
          </w:p>
        </w:tc>
        <w:tc>
          <w:tcPr>
            <w:tcW w:w="2590" w:type="dxa"/>
            <w:gridSpan w:val="3"/>
            <w:tcMar>
              <w:top w:w="15" w:type="dxa"/>
              <w:left w:w="36" w:type="dxa"/>
              <w:bottom w:w="0" w:type="dxa"/>
              <w:right w:w="36" w:type="dxa"/>
            </w:tcMar>
            <w:vAlign w:val="center"/>
          </w:tcPr>
          <w:p w14:paraId="028CF49D">
            <w:pPr>
              <w:pStyle w:val="48"/>
            </w:pPr>
            <w:r>
              <w:rPr>
                <w:rFonts w:hint="eastAsia"/>
              </w:rPr>
              <w:t>商业</w:t>
            </w:r>
            <w:r>
              <w:t>与服务业设施用地</w:t>
            </w:r>
          </w:p>
          <w:p w14:paraId="2E25B94A">
            <w:pPr>
              <w:pStyle w:val="48"/>
            </w:pPr>
            <w:r>
              <w:rPr>
                <w:rFonts w:hint="eastAsia"/>
              </w:rPr>
              <w:t>（B</w:t>
            </w:r>
            <w:r>
              <w:t>）</w:t>
            </w:r>
          </w:p>
        </w:tc>
        <w:tc>
          <w:tcPr>
            <w:tcW w:w="1526" w:type="dxa"/>
            <w:tcMar>
              <w:top w:w="15" w:type="dxa"/>
              <w:left w:w="36" w:type="dxa"/>
              <w:bottom w:w="0" w:type="dxa"/>
              <w:right w:w="36" w:type="dxa"/>
            </w:tcMar>
            <w:vAlign w:val="center"/>
          </w:tcPr>
          <w:p w14:paraId="52C519FA">
            <w:pPr>
              <w:pStyle w:val="48"/>
            </w:pPr>
            <w:r>
              <w:rPr>
                <w:rFonts w:hint="eastAsia"/>
              </w:rPr>
              <w:t>道路</w:t>
            </w:r>
            <w:r>
              <w:t>交通</w:t>
            </w:r>
          </w:p>
          <w:p w14:paraId="4984C472">
            <w:pPr>
              <w:pStyle w:val="48"/>
            </w:pPr>
            <w:r>
              <w:t>设施用地</w:t>
            </w:r>
            <w:r>
              <w:rPr>
                <w:rFonts w:hint="eastAsia"/>
              </w:rPr>
              <w:t>（S</w:t>
            </w:r>
            <w:r>
              <w:t>）</w:t>
            </w:r>
          </w:p>
        </w:tc>
        <w:tc>
          <w:tcPr>
            <w:tcW w:w="1217" w:type="dxa"/>
            <w:vAlign w:val="center"/>
          </w:tcPr>
          <w:p w14:paraId="52AD086D">
            <w:pPr>
              <w:pStyle w:val="48"/>
            </w:pPr>
            <w:r>
              <w:rPr>
                <w:rFonts w:hint="eastAsia"/>
              </w:rPr>
              <w:t>公用</w:t>
            </w:r>
            <w:r>
              <w:t>设施</w:t>
            </w:r>
          </w:p>
          <w:p w14:paraId="6FA35A9A">
            <w:pPr>
              <w:pStyle w:val="48"/>
            </w:pPr>
            <w:r>
              <w:t>用地（</w:t>
            </w:r>
            <w:r>
              <w:rPr>
                <w:rFonts w:hint="eastAsia"/>
              </w:rPr>
              <w:t>U</w:t>
            </w:r>
            <w:r>
              <w:t>）</w:t>
            </w:r>
          </w:p>
        </w:tc>
        <w:tc>
          <w:tcPr>
            <w:tcW w:w="2114" w:type="dxa"/>
            <w:gridSpan w:val="3"/>
            <w:vAlign w:val="center"/>
          </w:tcPr>
          <w:p w14:paraId="6C1B1166">
            <w:pPr>
              <w:pStyle w:val="48"/>
            </w:pPr>
            <w:r>
              <w:rPr>
                <w:rFonts w:hint="eastAsia"/>
              </w:rPr>
              <w:t>绿地与广场</w:t>
            </w:r>
            <w:r>
              <w:t>用地</w:t>
            </w:r>
          </w:p>
          <w:p w14:paraId="46B75863">
            <w:pPr>
              <w:pStyle w:val="48"/>
            </w:pPr>
            <w:r>
              <w:rPr>
                <w:rFonts w:hint="eastAsia"/>
              </w:rPr>
              <w:t>（G</w:t>
            </w:r>
            <w:r>
              <w:t>）</w:t>
            </w:r>
          </w:p>
        </w:tc>
      </w:tr>
      <w:tr w14:paraId="4504A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2" w:hRule="atLeast"/>
          <w:jc w:val="center"/>
        </w:trPr>
        <w:tc>
          <w:tcPr>
            <w:tcW w:w="2569" w:type="dxa"/>
            <w:gridSpan w:val="2"/>
            <w:vMerge w:val="continue"/>
            <w:vAlign w:val="center"/>
          </w:tcPr>
          <w:p w14:paraId="736C495A">
            <w:pPr>
              <w:pStyle w:val="48"/>
            </w:pPr>
          </w:p>
        </w:tc>
        <w:tc>
          <w:tcPr>
            <w:tcW w:w="1134" w:type="dxa"/>
            <w:tcMar>
              <w:top w:w="15" w:type="dxa"/>
              <w:left w:w="36" w:type="dxa"/>
              <w:bottom w:w="0" w:type="dxa"/>
              <w:right w:w="36" w:type="dxa"/>
            </w:tcMar>
            <w:vAlign w:val="center"/>
          </w:tcPr>
          <w:p w14:paraId="452E12CA">
            <w:pPr>
              <w:pStyle w:val="48"/>
            </w:pPr>
            <w:r>
              <w:rPr>
                <w:rFonts w:hint="eastAsia"/>
              </w:rPr>
              <w:t>中类</w:t>
            </w:r>
          </w:p>
        </w:tc>
        <w:tc>
          <w:tcPr>
            <w:tcW w:w="992" w:type="dxa"/>
            <w:tcMar>
              <w:top w:w="15" w:type="dxa"/>
              <w:left w:w="36" w:type="dxa"/>
              <w:bottom w:w="0" w:type="dxa"/>
              <w:right w:w="36" w:type="dxa"/>
            </w:tcMar>
            <w:vAlign w:val="center"/>
          </w:tcPr>
          <w:p w14:paraId="50FD3668">
            <w:pPr>
              <w:pStyle w:val="48"/>
            </w:pPr>
            <w:r>
              <w:rPr>
                <w:rFonts w:hint="eastAsia"/>
              </w:rPr>
              <w:t>二类居住用地</w:t>
            </w:r>
          </w:p>
        </w:tc>
        <w:tc>
          <w:tcPr>
            <w:tcW w:w="992" w:type="dxa"/>
            <w:tcMar>
              <w:top w:w="15" w:type="dxa"/>
              <w:left w:w="36" w:type="dxa"/>
              <w:bottom w:w="0" w:type="dxa"/>
              <w:right w:w="36" w:type="dxa"/>
            </w:tcMar>
            <w:vAlign w:val="center"/>
          </w:tcPr>
          <w:p w14:paraId="66C27FB7">
            <w:pPr>
              <w:pStyle w:val="48"/>
            </w:pPr>
            <w:r>
              <w:rPr>
                <w:rFonts w:hint="eastAsia"/>
              </w:rPr>
              <w:t>商务性科研用地</w:t>
            </w:r>
          </w:p>
        </w:tc>
        <w:tc>
          <w:tcPr>
            <w:tcW w:w="992" w:type="dxa"/>
            <w:tcMar>
              <w:top w:w="15" w:type="dxa"/>
              <w:left w:w="36" w:type="dxa"/>
              <w:bottom w:w="0" w:type="dxa"/>
              <w:right w:w="36" w:type="dxa"/>
            </w:tcMar>
            <w:vAlign w:val="center"/>
          </w:tcPr>
          <w:p w14:paraId="1AA67D6D">
            <w:pPr>
              <w:pStyle w:val="48"/>
            </w:pPr>
            <w:r>
              <w:rPr>
                <w:rFonts w:hint="eastAsia"/>
              </w:rPr>
              <w:t>公益性科研用地</w:t>
            </w:r>
          </w:p>
        </w:tc>
        <w:tc>
          <w:tcPr>
            <w:tcW w:w="930" w:type="dxa"/>
            <w:tcMar>
              <w:top w:w="15" w:type="dxa"/>
              <w:left w:w="36" w:type="dxa"/>
              <w:bottom w:w="0" w:type="dxa"/>
              <w:right w:w="36" w:type="dxa"/>
            </w:tcMar>
            <w:vAlign w:val="center"/>
          </w:tcPr>
          <w:p w14:paraId="0B8A89D5">
            <w:pPr>
              <w:pStyle w:val="48"/>
            </w:pPr>
            <w:r>
              <w:rPr>
                <w:rFonts w:hint="eastAsia"/>
              </w:rPr>
              <w:t>组团服务中心用地</w:t>
            </w:r>
          </w:p>
        </w:tc>
        <w:tc>
          <w:tcPr>
            <w:tcW w:w="930" w:type="dxa"/>
            <w:tcMar>
              <w:top w:w="15" w:type="dxa"/>
              <w:left w:w="36" w:type="dxa"/>
              <w:bottom w:w="0" w:type="dxa"/>
              <w:right w:w="36" w:type="dxa"/>
            </w:tcMar>
            <w:vAlign w:val="center"/>
          </w:tcPr>
          <w:p w14:paraId="2F96C96F">
            <w:pPr>
              <w:pStyle w:val="48"/>
            </w:pPr>
            <w:r>
              <w:rPr>
                <w:rFonts w:hint="eastAsia"/>
              </w:rPr>
              <w:t>行政办</w:t>
            </w:r>
          </w:p>
          <w:p w14:paraId="353CF1D2">
            <w:pPr>
              <w:pStyle w:val="48"/>
            </w:pPr>
            <w:r>
              <w:rPr>
                <w:rFonts w:hint="eastAsia"/>
              </w:rPr>
              <w:t>公用地</w:t>
            </w:r>
          </w:p>
        </w:tc>
        <w:tc>
          <w:tcPr>
            <w:tcW w:w="993" w:type="dxa"/>
            <w:tcMar>
              <w:top w:w="15" w:type="dxa"/>
              <w:left w:w="36" w:type="dxa"/>
              <w:bottom w:w="0" w:type="dxa"/>
              <w:right w:w="36" w:type="dxa"/>
            </w:tcMar>
            <w:vAlign w:val="center"/>
          </w:tcPr>
          <w:p w14:paraId="522B5DA0">
            <w:pPr>
              <w:pStyle w:val="48"/>
            </w:pPr>
            <w:r>
              <w:rPr>
                <w:rFonts w:hint="eastAsia"/>
              </w:rPr>
              <w:t>文化设</w:t>
            </w:r>
          </w:p>
          <w:p w14:paraId="100DFCC3">
            <w:pPr>
              <w:pStyle w:val="48"/>
            </w:pPr>
            <w:r>
              <w:rPr>
                <w:rFonts w:hint="eastAsia"/>
              </w:rPr>
              <w:t>施用地</w:t>
            </w:r>
          </w:p>
        </w:tc>
        <w:tc>
          <w:tcPr>
            <w:tcW w:w="1204" w:type="dxa"/>
            <w:tcMar>
              <w:top w:w="15" w:type="dxa"/>
              <w:left w:w="36" w:type="dxa"/>
              <w:bottom w:w="0" w:type="dxa"/>
              <w:right w:w="36" w:type="dxa"/>
            </w:tcMar>
            <w:vAlign w:val="center"/>
          </w:tcPr>
          <w:p w14:paraId="62993109">
            <w:pPr>
              <w:pStyle w:val="48"/>
            </w:pPr>
            <w:r>
              <w:rPr>
                <w:rFonts w:hint="eastAsia"/>
              </w:rPr>
              <w:t>教育科研用地（除A35）</w:t>
            </w:r>
          </w:p>
        </w:tc>
        <w:tc>
          <w:tcPr>
            <w:tcW w:w="689" w:type="dxa"/>
            <w:tcMar>
              <w:top w:w="15" w:type="dxa"/>
              <w:left w:w="36" w:type="dxa"/>
              <w:bottom w:w="0" w:type="dxa"/>
              <w:right w:w="36" w:type="dxa"/>
            </w:tcMar>
            <w:vAlign w:val="center"/>
          </w:tcPr>
          <w:p w14:paraId="6D0F1E15">
            <w:pPr>
              <w:pStyle w:val="48"/>
            </w:pPr>
            <w:r>
              <w:rPr>
                <w:rFonts w:hint="eastAsia"/>
              </w:rPr>
              <w:t>体育</w:t>
            </w:r>
          </w:p>
          <w:p w14:paraId="16FC1F50">
            <w:pPr>
              <w:pStyle w:val="48"/>
            </w:pPr>
            <w:r>
              <w:t>用地</w:t>
            </w:r>
          </w:p>
        </w:tc>
        <w:tc>
          <w:tcPr>
            <w:tcW w:w="867" w:type="dxa"/>
            <w:tcMar>
              <w:top w:w="15" w:type="dxa"/>
              <w:left w:w="36" w:type="dxa"/>
              <w:bottom w:w="0" w:type="dxa"/>
              <w:right w:w="36" w:type="dxa"/>
            </w:tcMar>
            <w:vAlign w:val="center"/>
          </w:tcPr>
          <w:p w14:paraId="225752C7">
            <w:pPr>
              <w:pStyle w:val="48"/>
            </w:pPr>
            <w:r>
              <w:rPr>
                <w:rFonts w:hint="eastAsia"/>
              </w:rPr>
              <w:t>医疗</w:t>
            </w:r>
            <w:r>
              <w:t>卫</w:t>
            </w:r>
          </w:p>
          <w:p w14:paraId="125B18A1">
            <w:pPr>
              <w:pStyle w:val="48"/>
            </w:pPr>
            <w:r>
              <w:t>生用地</w:t>
            </w:r>
          </w:p>
        </w:tc>
        <w:tc>
          <w:tcPr>
            <w:tcW w:w="784" w:type="dxa"/>
            <w:tcMar>
              <w:top w:w="15" w:type="dxa"/>
              <w:left w:w="36" w:type="dxa"/>
              <w:bottom w:w="0" w:type="dxa"/>
              <w:right w:w="36" w:type="dxa"/>
            </w:tcMar>
            <w:vAlign w:val="center"/>
          </w:tcPr>
          <w:p w14:paraId="2DA36A84">
            <w:pPr>
              <w:pStyle w:val="48"/>
            </w:pPr>
            <w:r>
              <w:rPr>
                <w:rFonts w:hint="eastAsia"/>
              </w:rPr>
              <w:t>商业</w:t>
            </w:r>
          </w:p>
          <w:p w14:paraId="7EAFD73A">
            <w:pPr>
              <w:pStyle w:val="48"/>
            </w:pPr>
            <w:r>
              <w:rPr>
                <w:rFonts w:hint="eastAsia"/>
              </w:rPr>
              <w:t>用地</w:t>
            </w:r>
          </w:p>
        </w:tc>
        <w:tc>
          <w:tcPr>
            <w:tcW w:w="1022" w:type="dxa"/>
            <w:tcMar>
              <w:top w:w="15" w:type="dxa"/>
              <w:left w:w="36" w:type="dxa"/>
              <w:bottom w:w="0" w:type="dxa"/>
              <w:right w:w="36" w:type="dxa"/>
            </w:tcMar>
            <w:vAlign w:val="center"/>
          </w:tcPr>
          <w:p w14:paraId="6D4F7D5B">
            <w:pPr>
              <w:pStyle w:val="48"/>
            </w:pPr>
            <w:r>
              <w:rPr>
                <w:rFonts w:hint="eastAsia"/>
              </w:rPr>
              <w:t>商务用地</w:t>
            </w:r>
          </w:p>
          <w:p w14:paraId="74A1FC84">
            <w:pPr>
              <w:pStyle w:val="48"/>
            </w:pPr>
            <w:r>
              <w:rPr>
                <w:rFonts w:hint="eastAsia"/>
              </w:rPr>
              <w:t>（除B29）</w:t>
            </w:r>
          </w:p>
        </w:tc>
        <w:tc>
          <w:tcPr>
            <w:tcW w:w="784" w:type="dxa"/>
            <w:tcMar>
              <w:top w:w="15" w:type="dxa"/>
              <w:left w:w="36" w:type="dxa"/>
              <w:bottom w:w="0" w:type="dxa"/>
              <w:right w:w="36" w:type="dxa"/>
            </w:tcMar>
            <w:vAlign w:val="center"/>
          </w:tcPr>
          <w:p w14:paraId="3C39011C">
            <w:pPr>
              <w:pStyle w:val="48"/>
            </w:pPr>
            <w:r>
              <w:rPr>
                <w:rFonts w:hint="eastAsia"/>
              </w:rPr>
              <w:t>娱乐康</w:t>
            </w:r>
          </w:p>
          <w:p w14:paraId="1B2E2C97">
            <w:pPr>
              <w:pStyle w:val="48"/>
            </w:pPr>
            <w:r>
              <w:rPr>
                <w:rFonts w:hint="eastAsia"/>
              </w:rPr>
              <w:t>体用地</w:t>
            </w:r>
          </w:p>
        </w:tc>
        <w:tc>
          <w:tcPr>
            <w:tcW w:w="1526" w:type="dxa"/>
            <w:tcMar>
              <w:top w:w="15" w:type="dxa"/>
              <w:left w:w="36" w:type="dxa"/>
              <w:bottom w:w="0" w:type="dxa"/>
              <w:right w:w="36" w:type="dxa"/>
            </w:tcMar>
            <w:vAlign w:val="center"/>
          </w:tcPr>
          <w:p w14:paraId="34F12222">
            <w:pPr>
              <w:pStyle w:val="48"/>
            </w:pPr>
            <w:r>
              <w:rPr>
                <w:rFonts w:hint="eastAsia"/>
              </w:rPr>
              <w:t>交通</w:t>
            </w:r>
            <w:r>
              <w:t>场</w:t>
            </w:r>
          </w:p>
          <w:p w14:paraId="20E46F8D">
            <w:pPr>
              <w:pStyle w:val="48"/>
            </w:pPr>
            <w:r>
              <w:t>站用地</w:t>
            </w:r>
          </w:p>
        </w:tc>
        <w:tc>
          <w:tcPr>
            <w:tcW w:w="1217" w:type="dxa"/>
            <w:vAlign w:val="center"/>
          </w:tcPr>
          <w:p w14:paraId="307C0159">
            <w:pPr>
              <w:pStyle w:val="48"/>
            </w:pPr>
            <w:r>
              <w:rPr>
                <w:rFonts w:hint="eastAsia"/>
              </w:rPr>
              <w:t>公用</w:t>
            </w:r>
            <w:r>
              <w:t>设</w:t>
            </w:r>
          </w:p>
          <w:p w14:paraId="7522E020">
            <w:pPr>
              <w:pStyle w:val="48"/>
            </w:pPr>
            <w:r>
              <w:t>施用地</w:t>
            </w:r>
          </w:p>
        </w:tc>
        <w:tc>
          <w:tcPr>
            <w:tcW w:w="756" w:type="dxa"/>
            <w:vAlign w:val="center"/>
          </w:tcPr>
          <w:p w14:paraId="1E0BB4E0">
            <w:pPr>
              <w:pStyle w:val="48"/>
            </w:pPr>
            <w:r>
              <w:rPr>
                <w:rFonts w:hint="eastAsia"/>
              </w:rPr>
              <w:t>公园</w:t>
            </w:r>
          </w:p>
          <w:p w14:paraId="0E551051">
            <w:pPr>
              <w:pStyle w:val="48"/>
            </w:pPr>
            <w:r>
              <w:t>绿地</w:t>
            </w:r>
          </w:p>
        </w:tc>
        <w:tc>
          <w:tcPr>
            <w:tcW w:w="700" w:type="dxa"/>
            <w:vAlign w:val="center"/>
          </w:tcPr>
          <w:p w14:paraId="5745C3F7">
            <w:pPr>
              <w:pStyle w:val="48"/>
            </w:pPr>
            <w:r>
              <w:rPr>
                <w:rFonts w:hint="eastAsia"/>
              </w:rPr>
              <w:t>防护</w:t>
            </w:r>
          </w:p>
          <w:p w14:paraId="538B29C7">
            <w:pPr>
              <w:pStyle w:val="48"/>
            </w:pPr>
            <w:r>
              <w:t>绿地</w:t>
            </w:r>
          </w:p>
        </w:tc>
        <w:tc>
          <w:tcPr>
            <w:tcW w:w="658" w:type="dxa"/>
            <w:vAlign w:val="center"/>
          </w:tcPr>
          <w:p w14:paraId="3D4B09BD">
            <w:pPr>
              <w:pStyle w:val="48"/>
            </w:pPr>
            <w:r>
              <w:rPr>
                <w:rFonts w:hint="eastAsia"/>
              </w:rPr>
              <w:t>广场</w:t>
            </w:r>
          </w:p>
          <w:p w14:paraId="14CB46CA">
            <w:pPr>
              <w:pStyle w:val="48"/>
            </w:pPr>
            <w:r>
              <w:rPr>
                <w:rFonts w:hint="eastAsia"/>
              </w:rPr>
              <w:t>用地</w:t>
            </w:r>
          </w:p>
        </w:tc>
      </w:tr>
      <w:tr w14:paraId="4D501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tcMar>
              <w:top w:w="15" w:type="dxa"/>
              <w:left w:w="36" w:type="dxa"/>
              <w:bottom w:w="0" w:type="dxa"/>
              <w:right w:w="36" w:type="dxa"/>
            </w:tcMar>
            <w:vAlign w:val="center"/>
          </w:tcPr>
          <w:p w14:paraId="02C3CAE8">
            <w:pPr>
              <w:pStyle w:val="48"/>
            </w:pPr>
            <w:r>
              <w:rPr>
                <w:rFonts w:hint="eastAsia"/>
              </w:rPr>
              <w:t>大类</w:t>
            </w:r>
          </w:p>
        </w:tc>
        <w:tc>
          <w:tcPr>
            <w:tcW w:w="1577" w:type="dxa"/>
            <w:tcMar>
              <w:top w:w="15" w:type="dxa"/>
              <w:left w:w="36" w:type="dxa"/>
              <w:bottom w:w="0" w:type="dxa"/>
              <w:right w:w="36" w:type="dxa"/>
            </w:tcMar>
            <w:vAlign w:val="center"/>
          </w:tcPr>
          <w:p w14:paraId="42DC4267">
            <w:pPr>
              <w:pStyle w:val="48"/>
            </w:pPr>
            <w:r>
              <w:rPr>
                <w:rFonts w:hint="eastAsia"/>
              </w:rPr>
              <w:t>中类</w:t>
            </w:r>
          </w:p>
        </w:tc>
        <w:tc>
          <w:tcPr>
            <w:tcW w:w="1134" w:type="dxa"/>
            <w:tcMar>
              <w:top w:w="15" w:type="dxa"/>
              <w:left w:w="36" w:type="dxa"/>
              <w:bottom w:w="0" w:type="dxa"/>
              <w:right w:w="36" w:type="dxa"/>
            </w:tcMar>
            <w:vAlign w:val="center"/>
          </w:tcPr>
          <w:p w14:paraId="5EEE17D3">
            <w:pPr>
              <w:pStyle w:val="48"/>
            </w:pPr>
            <w:r>
              <w:rPr>
                <w:rFonts w:hint="eastAsia"/>
              </w:rPr>
              <w:t>类别代码</w:t>
            </w:r>
          </w:p>
        </w:tc>
        <w:tc>
          <w:tcPr>
            <w:tcW w:w="992" w:type="dxa"/>
            <w:tcMar>
              <w:top w:w="15" w:type="dxa"/>
              <w:left w:w="36" w:type="dxa"/>
              <w:bottom w:w="0" w:type="dxa"/>
              <w:right w:w="36" w:type="dxa"/>
            </w:tcMar>
            <w:vAlign w:val="center"/>
          </w:tcPr>
          <w:p w14:paraId="53E832A7">
            <w:pPr>
              <w:pStyle w:val="48"/>
            </w:pPr>
            <w:r>
              <w:rPr>
                <w:rFonts w:hint="eastAsia"/>
              </w:rPr>
              <w:t>R2</w:t>
            </w:r>
          </w:p>
        </w:tc>
        <w:tc>
          <w:tcPr>
            <w:tcW w:w="992" w:type="dxa"/>
            <w:tcMar>
              <w:top w:w="15" w:type="dxa"/>
              <w:left w:w="36" w:type="dxa"/>
              <w:bottom w:w="0" w:type="dxa"/>
              <w:right w:w="36" w:type="dxa"/>
            </w:tcMar>
            <w:vAlign w:val="center"/>
          </w:tcPr>
          <w:p w14:paraId="42E714E3">
            <w:pPr>
              <w:pStyle w:val="48"/>
            </w:pPr>
            <w:r>
              <w:rPr>
                <w:rFonts w:hint="eastAsia"/>
              </w:rPr>
              <w:t>B29</w:t>
            </w:r>
          </w:p>
        </w:tc>
        <w:tc>
          <w:tcPr>
            <w:tcW w:w="992" w:type="dxa"/>
            <w:tcMar>
              <w:top w:w="15" w:type="dxa"/>
              <w:left w:w="36" w:type="dxa"/>
              <w:bottom w:w="0" w:type="dxa"/>
              <w:right w:w="36" w:type="dxa"/>
            </w:tcMar>
            <w:vAlign w:val="center"/>
          </w:tcPr>
          <w:p w14:paraId="66C5D39C">
            <w:pPr>
              <w:pStyle w:val="48"/>
            </w:pPr>
            <w:r>
              <w:rPr>
                <w:rFonts w:hint="eastAsia"/>
              </w:rPr>
              <w:t>A35</w:t>
            </w:r>
          </w:p>
        </w:tc>
        <w:tc>
          <w:tcPr>
            <w:tcW w:w="930" w:type="dxa"/>
            <w:tcMar>
              <w:top w:w="15" w:type="dxa"/>
              <w:left w:w="36" w:type="dxa"/>
              <w:bottom w:w="0" w:type="dxa"/>
              <w:right w:w="36" w:type="dxa"/>
            </w:tcMar>
            <w:vAlign w:val="center"/>
          </w:tcPr>
          <w:p w14:paraId="6E73612C">
            <w:pPr>
              <w:pStyle w:val="48"/>
            </w:pPr>
            <w:r>
              <w:rPr>
                <w:rFonts w:hint="eastAsia"/>
              </w:rPr>
              <w:t>A</w:t>
            </w:r>
          </w:p>
        </w:tc>
        <w:tc>
          <w:tcPr>
            <w:tcW w:w="930" w:type="dxa"/>
            <w:tcMar>
              <w:top w:w="15" w:type="dxa"/>
              <w:left w:w="36" w:type="dxa"/>
              <w:bottom w:w="0" w:type="dxa"/>
              <w:right w:w="36" w:type="dxa"/>
            </w:tcMar>
            <w:vAlign w:val="center"/>
          </w:tcPr>
          <w:p w14:paraId="64DF89F5">
            <w:pPr>
              <w:pStyle w:val="48"/>
            </w:pPr>
            <w:r>
              <w:rPr>
                <w:rFonts w:hint="eastAsia"/>
              </w:rPr>
              <w:t>A</w:t>
            </w:r>
            <w:r>
              <w:t>1</w:t>
            </w:r>
          </w:p>
        </w:tc>
        <w:tc>
          <w:tcPr>
            <w:tcW w:w="993" w:type="dxa"/>
            <w:tcMar>
              <w:top w:w="15" w:type="dxa"/>
              <w:left w:w="36" w:type="dxa"/>
              <w:bottom w:w="0" w:type="dxa"/>
              <w:right w:w="36" w:type="dxa"/>
            </w:tcMar>
            <w:vAlign w:val="center"/>
          </w:tcPr>
          <w:p w14:paraId="5D34EB61">
            <w:pPr>
              <w:pStyle w:val="48"/>
            </w:pPr>
            <w:r>
              <w:rPr>
                <w:rFonts w:hint="eastAsia"/>
              </w:rPr>
              <w:t>A2</w:t>
            </w:r>
          </w:p>
        </w:tc>
        <w:tc>
          <w:tcPr>
            <w:tcW w:w="1204" w:type="dxa"/>
            <w:tcMar>
              <w:top w:w="15" w:type="dxa"/>
              <w:left w:w="36" w:type="dxa"/>
              <w:bottom w:w="0" w:type="dxa"/>
              <w:right w:w="36" w:type="dxa"/>
            </w:tcMar>
            <w:vAlign w:val="center"/>
          </w:tcPr>
          <w:p w14:paraId="47E1E1FB">
            <w:pPr>
              <w:pStyle w:val="48"/>
            </w:pPr>
            <w:r>
              <w:rPr>
                <w:rFonts w:hint="eastAsia"/>
              </w:rPr>
              <w:t>A3</w:t>
            </w:r>
          </w:p>
        </w:tc>
        <w:tc>
          <w:tcPr>
            <w:tcW w:w="689" w:type="dxa"/>
            <w:tcMar>
              <w:top w:w="15" w:type="dxa"/>
              <w:left w:w="36" w:type="dxa"/>
              <w:bottom w:w="0" w:type="dxa"/>
              <w:right w:w="36" w:type="dxa"/>
            </w:tcMar>
            <w:vAlign w:val="center"/>
          </w:tcPr>
          <w:p w14:paraId="5BAF1DBB">
            <w:pPr>
              <w:pStyle w:val="48"/>
            </w:pPr>
            <w:r>
              <w:rPr>
                <w:rFonts w:hint="eastAsia"/>
              </w:rPr>
              <w:t>A4</w:t>
            </w:r>
          </w:p>
        </w:tc>
        <w:tc>
          <w:tcPr>
            <w:tcW w:w="867" w:type="dxa"/>
            <w:tcMar>
              <w:top w:w="15" w:type="dxa"/>
              <w:left w:w="36" w:type="dxa"/>
              <w:bottom w:w="0" w:type="dxa"/>
              <w:right w:w="36" w:type="dxa"/>
            </w:tcMar>
            <w:vAlign w:val="center"/>
          </w:tcPr>
          <w:p w14:paraId="26DE70F8">
            <w:pPr>
              <w:pStyle w:val="48"/>
            </w:pPr>
            <w:r>
              <w:rPr>
                <w:rFonts w:hint="eastAsia"/>
              </w:rPr>
              <w:t>A5</w:t>
            </w:r>
          </w:p>
        </w:tc>
        <w:tc>
          <w:tcPr>
            <w:tcW w:w="784" w:type="dxa"/>
            <w:tcMar>
              <w:top w:w="15" w:type="dxa"/>
              <w:left w:w="36" w:type="dxa"/>
              <w:bottom w:w="0" w:type="dxa"/>
              <w:right w:w="36" w:type="dxa"/>
            </w:tcMar>
            <w:vAlign w:val="center"/>
          </w:tcPr>
          <w:p w14:paraId="5FBBE920">
            <w:pPr>
              <w:pStyle w:val="48"/>
            </w:pPr>
            <w:r>
              <w:rPr>
                <w:rFonts w:hint="eastAsia"/>
              </w:rPr>
              <w:t>B1</w:t>
            </w:r>
          </w:p>
        </w:tc>
        <w:tc>
          <w:tcPr>
            <w:tcW w:w="1022" w:type="dxa"/>
            <w:tcMar>
              <w:top w:w="15" w:type="dxa"/>
              <w:left w:w="36" w:type="dxa"/>
              <w:bottom w:w="0" w:type="dxa"/>
              <w:right w:w="36" w:type="dxa"/>
            </w:tcMar>
            <w:vAlign w:val="center"/>
          </w:tcPr>
          <w:p w14:paraId="5782E6E9">
            <w:pPr>
              <w:pStyle w:val="48"/>
            </w:pPr>
            <w:r>
              <w:rPr>
                <w:rFonts w:hint="eastAsia"/>
              </w:rPr>
              <w:t>B2</w:t>
            </w:r>
          </w:p>
        </w:tc>
        <w:tc>
          <w:tcPr>
            <w:tcW w:w="784" w:type="dxa"/>
            <w:tcMar>
              <w:top w:w="15" w:type="dxa"/>
              <w:left w:w="36" w:type="dxa"/>
              <w:bottom w:w="0" w:type="dxa"/>
              <w:right w:w="36" w:type="dxa"/>
            </w:tcMar>
            <w:vAlign w:val="center"/>
          </w:tcPr>
          <w:p w14:paraId="75C83319">
            <w:pPr>
              <w:pStyle w:val="48"/>
            </w:pPr>
            <w:r>
              <w:rPr>
                <w:rFonts w:hint="eastAsia"/>
              </w:rPr>
              <w:t>B3</w:t>
            </w:r>
          </w:p>
        </w:tc>
        <w:tc>
          <w:tcPr>
            <w:tcW w:w="1526" w:type="dxa"/>
            <w:tcMar>
              <w:top w:w="15" w:type="dxa"/>
              <w:left w:w="36" w:type="dxa"/>
              <w:bottom w:w="0" w:type="dxa"/>
              <w:right w:w="36" w:type="dxa"/>
            </w:tcMar>
            <w:vAlign w:val="center"/>
          </w:tcPr>
          <w:p w14:paraId="63049F23">
            <w:pPr>
              <w:pStyle w:val="48"/>
            </w:pPr>
            <w:r>
              <w:rPr>
                <w:rFonts w:hint="eastAsia"/>
              </w:rPr>
              <w:t>S4</w:t>
            </w:r>
          </w:p>
        </w:tc>
        <w:tc>
          <w:tcPr>
            <w:tcW w:w="1217" w:type="dxa"/>
            <w:vAlign w:val="center"/>
          </w:tcPr>
          <w:p w14:paraId="19319DFE">
            <w:pPr>
              <w:pStyle w:val="48"/>
            </w:pPr>
            <w:r>
              <w:rPr>
                <w:rFonts w:hint="eastAsia"/>
              </w:rPr>
              <w:t>U</w:t>
            </w:r>
          </w:p>
        </w:tc>
        <w:tc>
          <w:tcPr>
            <w:tcW w:w="756" w:type="dxa"/>
            <w:vAlign w:val="center"/>
          </w:tcPr>
          <w:p w14:paraId="78B834A9">
            <w:pPr>
              <w:pStyle w:val="48"/>
            </w:pPr>
            <w:r>
              <w:rPr>
                <w:rFonts w:hint="eastAsia"/>
              </w:rPr>
              <w:t>G1</w:t>
            </w:r>
          </w:p>
        </w:tc>
        <w:tc>
          <w:tcPr>
            <w:tcW w:w="700" w:type="dxa"/>
            <w:vAlign w:val="center"/>
          </w:tcPr>
          <w:p w14:paraId="063C309B">
            <w:pPr>
              <w:pStyle w:val="48"/>
            </w:pPr>
            <w:r>
              <w:rPr>
                <w:rFonts w:hint="eastAsia"/>
              </w:rPr>
              <w:t>G2</w:t>
            </w:r>
          </w:p>
        </w:tc>
        <w:tc>
          <w:tcPr>
            <w:tcW w:w="658" w:type="dxa"/>
            <w:vAlign w:val="center"/>
          </w:tcPr>
          <w:p w14:paraId="7E554484">
            <w:pPr>
              <w:pStyle w:val="48"/>
            </w:pPr>
            <w:r>
              <w:t>G3</w:t>
            </w:r>
          </w:p>
        </w:tc>
      </w:tr>
      <w:tr w14:paraId="26C64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restart"/>
            <w:tcMar>
              <w:top w:w="15" w:type="dxa"/>
              <w:left w:w="36" w:type="dxa"/>
              <w:bottom w:w="0" w:type="dxa"/>
              <w:right w:w="36" w:type="dxa"/>
            </w:tcMar>
            <w:vAlign w:val="center"/>
          </w:tcPr>
          <w:p w14:paraId="75264E90">
            <w:pPr>
              <w:pStyle w:val="48"/>
            </w:pPr>
            <w:r>
              <w:rPr>
                <w:rFonts w:hint="eastAsia"/>
              </w:rPr>
              <w:t>居住用地</w:t>
            </w:r>
          </w:p>
        </w:tc>
        <w:tc>
          <w:tcPr>
            <w:tcW w:w="1577" w:type="dxa"/>
            <w:tcMar>
              <w:top w:w="15" w:type="dxa"/>
              <w:left w:w="36" w:type="dxa"/>
              <w:bottom w:w="0" w:type="dxa"/>
              <w:right w:w="36" w:type="dxa"/>
            </w:tcMar>
            <w:vAlign w:val="center"/>
          </w:tcPr>
          <w:p w14:paraId="698A2AA5">
            <w:pPr>
              <w:pStyle w:val="48"/>
            </w:pPr>
            <w:r>
              <w:rPr>
                <w:rFonts w:hint="eastAsia"/>
              </w:rPr>
              <w:t>一类</w:t>
            </w:r>
            <w:r>
              <w:t>居住用地</w:t>
            </w:r>
          </w:p>
        </w:tc>
        <w:tc>
          <w:tcPr>
            <w:tcW w:w="1134" w:type="dxa"/>
            <w:tcMar>
              <w:top w:w="15" w:type="dxa"/>
              <w:left w:w="36" w:type="dxa"/>
              <w:bottom w:w="0" w:type="dxa"/>
              <w:right w:w="36" w:type="dxa"/>
            </w:tcMar>
            <w:vAlign w:val="center"/>
          </w:tcPr>
          <w:p w14:paraId="0930644A">
            <w:pPr>
              <w:pStyle w:val="48"/>
            </w:pPr>
            <w:r>
              <w:rPr>
                <w:rFonts w:hint="eastAsia"/>
              </w:rPr>
              <w:t>R1</w:t>
            </w:r>
          </w:p>
        </w:tc>
        <w:tc>
          <w:tcPr>
            <w:tcW w:w="992" w:type="dxa"/>
            <w:tcMar>
              <w:top w:w="15" w:type="dxa"/>
              <w:left w:w="36" w:type="dxa"/>
              <w:bottom w:w="0" w:type="dxa"/>
              <w:right w:w="36" w:type="dxa"/>
            </w:tcMar>
            <w:vAlign w:val="center"/>
          </w:tcPr>
          <w:p w14:paraId="7D8D9F4E">
            <w:pPr>
              <w:pStyle w:val="48"/>
            </w:pPr>
            <w:r>
              <w:rPr>
                <w:rFonts w:hint="eastAsia"/>
              </w:rPr>
              <w:t>×</w:t>
            </w:r>
          </w:p>
        </w:tc>
        <w:tc>
          <w:tcPr>
            <w:tcW w:w="992" w:type="dxa"/>
            <w:tcMar>
              <w:top w:w="15" w:type="dxa"/>
              <w:left w:w="36" w:type="dxa"/>
              <w:bottom w:w="0" w:type="dxa"/>
              <w:right w:w="36" w:type="dxa"/>
            </w:tcMar>
            <w:vAlign w:val="center"/>
          </w:tcPr>
          <w:p w14:paraId="39C5A4F8">
            <w:pPr>
              <w:pStyle w:val="48"/>
            </w:pPr>
            <w:r>
              <w:rPr>
                <w:rFonts w:hint="eastAsia"/>
              </w:rPr>
              <w:t>×</w:t>
            </w:r>
          </w:p>
        </w:tc>
        <w:tc>
          <w:tcPr>
            <w:tcW w:w="992" w:type="dxa"/>
            <w:tcMar>
              <w:top w:w="15" w:type="dxa"/>
              <w:left w:w="36" w:type="dxa"/>
              <w:bottom w:w="0" w:type="dxa"/>
              <w:right w:w="36" w:type="dxa"/>
            </w:tcMar>
            <w:vAlign w:val="center"/>
          </w:tcPr>
          <w:p w14:paraId="08CC6570">
            <w:pPr>
              <w:pStyle w:val="48"/>
            </w:pPr>
            <w:r>
              <w:rPr>
                <w:rFonts w:hint="eastAsia"/>
              </w:rPr>
              <w:t>×</w:t>
            </w:r>
          </w:p>
        </w:tc>
        <w:tc>
          <w:tcPr>
            <w:tcW w:w="930" w:type="dxa"/>
            <w:tcMar>
              <w:top w:w="15" w:type="dxa"/>
              <w:left w:w="36" w:type="dxa"/>
              <w:bottom w:w="0" w:type="dxa"/>
              <w:right w:w="36" w:type="dxa"/>
            </w:tcMar>
            <w:vAlign w:val="center"/>
          </w:tcPr>
          <w:p w14:paraId="355CAC19">
            <w:pPr>
              <w:pStyle w:val="48"/>
            </w:pPr>
            <w:r>
              <w:rPr>
                <w:rFonts w:hint="eastAsia"/>
              </w:rPr>
              <w:t>×</w:t>
            </w:r>
          </w:p>
        </w:tc>
        <w:tc>
          <w:tcPr>
            <w:tcW w:w="930" w:type="dxa"/>
            <w:tcMar>
              <w:top w:w="15" w:type="dxa"/>
              <w:left w:w="36" w:type="dxa"/>
              <w:bottom w:w="0" w:type="dxa"/>
              <w:right w:w="36" w:type="dxa"/>
            </w:tcMar>
            <w:vAlign w:val="center"/>
          </w:tcPr>
          <w:p w14:paraId="00CB38A2">
            <w:pPr>
              <w:pStyle w:val="48"/>
            </w:pPr>
            <w:r>
              <w:rPr>
                <w:rFonts w:hint="eastAsia"/>
              </w:rPr>
              <w:t>×</w:t>
            </w:r>
          </w:p>
        </w:tc>
        <w:tc>
          <w:tcPr>
            <w:tcW w:w="993" w:type="dxa"/>
            <w:tcMar>
              <w:top w:w="15" w:type="dxa"/>
              <w:left w:w="36" w:type="dxa"/>
              <w:bottom w:w="0" w:type="dxa"/>
              <w:right w:w="36" w:type="dxa"/>
            </w:tcMar>
            <w:vAlign w:val="center"/>
          </w:tcPr>
          <w:p w14:paraId="5DDBF60C">
            <w:pPr>
              <w:pStyle w:val="48"/>
            </w:pPr>
            <w:r>
              <w:rPr>
                <w:rFonts w:hint="eastAsia"/>
              </w:rPr>
              <w:t>×</w:t>
            </w:r>
          </w:p>
        </w:tc>
        <w:tc>
          <w:tcPr>
            <w:tcW w:w="1204" w:type="dxa"/>
            <w:tcMar>
              <w:top w:w="15" w:type="dxa"/>
              <w:left w:w="36" w:type="dxa"/>
              <w:bottom w:w="0" w:type="dxa"/>
              <w:right w:w="36" w:type="dxa"/>
            </w:tcMar>
            <w:vAlign w:val="center"/>
          </w:tcPr>
          <w:p w14:paraId="3528F023">
            <w:pPr>
              <w:pStyle w:val="48"/>
            </w:pPr>
            <w:r>
              <w:rPr>
                <w:rFonts w:hint="eastAsia"/>
              </w:rPr>
              <w:t>×</w:t>
            </w:r>
          </w:p>
        </w:tc>
        <w:tc>
          <w:tcPr>
            <w:tcW w:w="689" w:type="dxa"/>
            <w:tcMar>
              <w:top w:w="15" w:type="dxa"/>
              <w:left w:w="36" w:type="dxa"/>
              <w:bottom w:w="0" w:type="dxa"/>
              <w:right w:w="36" w:type="dxa"/>
            </w:tcMar>
            <w:vAlign w:val="center"/>
          </w:tcPr>
          <w:p w14:paraId="3DD39991">
            <w:pPr>
              <w:pStyle w:val="48"/>
            </w:pPr>
            <w:r>
              <w:rPr>
                <w:rFonts w:hint="eastAsia"/>
              </w:rPr>
              <w:t>×</w:t>
            </w:r>
          </w:p>
        </w:tc>
        <w:tc>
          <w:tcPr>
            <w:tcW w:w="867" w:type="dxa"/>
            <w:tcMar>
              <w:top w:w="15" w:type="dxa"/>
              <w:left w:w="36" w:type="dxa"/>
              <w:bottom w:w="0" w:type="dxa"/>
              <w:right w:w="36" w:type="dxa"/>
            </w:tcMar>
            <w:vAlign w:val="center"/>
          </w:tcPr>
          <w:p w14:paraId="35A5A547">
            <w:pPr>
              <w:pStyle w:val="48"/>
            </w:pPr>
            <w:r>
              <w:rPr>
                <w:rFonts w:hint="eastAsia"/>
              </w:rPr>
              <w:t>×</w:t>
            </w:r>
          </w:p>
        </w:tc>
        <w:tc>
          <w:tcPr>
            <w:tcW w:w="784" w:type="dxa"/>
            <w:tcMar>
              <w:top w:w="15" w:type="dxa"/>
              <w:left w:w="36" w:type="dxa"/>
              <w:bottom w:w="0" w:type="dxa"/>
              <w:right w:w="36" w:type="dxa"/>
            </w:tcMar>
            <w:vAlign w:val="center"/>
          </w:tcPr>
          <w:p w14:paraId="227DEF5A">
            <w:pPr>
              <w:pStyle w:val="48"/>
            </w:pPr>
            <w:r>
              <w:rPr>
                <w:rFonts w:hint="eastAsia"/>
              </w:rPr>
              <w:t>×</w:t>
            </w:r>
          </w:p>
        </w:tc>
        <w:tc>
          <w:tcPr>
            <w:tcW w:w="1022" w:type="dxa"/>
            <w:tcMar>
              <w:top w:w="15" w:type="dxa"/>
              <w:left w:w="36" w:type="dxa"/>
              <w:bottom w:w="0" w:type="dxa"/>
              <w:right w:w="36" w:type="dxa"/>
            </w:tcMar>
            <w:vAlign w:val="center"/>
          </w:tcPr>
          <w:p w14:paraId="58766D56">
            <w:pPr>
              <w:pStyle w:val="48"/>
            </w:pPr>
            <w:r>
              <w:rPr>
                <w:rFonts w:hint="eastAsia"/>
              </w:rPr>
              <w:t>×</w:t>
            </w:r>
          </w:p>
        </w:tc>
        <w:tc>
          <w:tcPr>
            <w:tcW w:w="784" w:type="dxa"/>
            <w:tcMar>
              <w:top w:w="15" w:type="dxa"/>
              <w:left w:w="36" w:type="dxa"/>
              <w:bottom w:w="0" w:type="dxa"/>
              <w:right w:w="36" w:type="dxa"/>
            </w:tcMar>
            <w:vAlign w:val="center"/>
          </w:tcPr>
          <w:p w14:paraId="04DAEE10">
            <w:pPr>
              <w:pStyle w:val="48"/>
            </w:pPr>
            <w:r>
              <w:rPr>
                <w:rFonts w:hint="eastAsia"/>
              </w:rPr>
              <w:t>×</w:t>
            </w:r>
          </w:p>
        </w:tc>
        <w:tc>
          <w:tcPr>
            <w:tcW w:w="1526" w:type="dxa"/>
            <w:tcMar>
              <w:top w:w="15" w:type="dxa"/>
              <w:left w:w="36" w:type="dxa"/>
              <w:bottom w:w="0" w:type="dxa"/>
              <w:right w:w="36" w:type="dxa"/>
            </w:tcMar>
            <w:vAlign w:val="center"/>
          </w:tcPr>
          <w:p w14:paraId="204F71B7">
            <w:pPr>
              <w:pStyle w:val="48"/>
            </w:pPr>
            <w:r>
              <w:rPr>
                <w:rFonts w:hint="eastAsia"/>
              </w:rPr>
              <w:t>×</w:t>
            </w:r>
          </w:p>
        </w:tc>
        <w:tc>
          <w:tcPr>
            <w:tcW w:w="1217" w:type="dxa"/>
            <w:vAlign w:val="center"/>
          </w:tcPr>
          <w:p w14:paraId="28C0CE99">
            <w:pPr>
              <w:pStyle w:val="48"/>
            </w:pPr>
            <w:r>
              <w:rPr>
                <w:rFonts w:hint="eastAsia"/>
              </w:rPr>
              <w:t>×</w:t>
            </w:r>
          </w:p>
        </w:tc>
        <w:tc>
          <w:tcPr>
            <w:tcW w:w="756" w:type="dxa"/>
            <w:vAlign w:val="center"/>
          </w:tcPr>
          <w:p w14:paraId="41FFD5F5">
            <w:pPr>
              <w:pStyle w:val="48"/>
            </w:pPr>
            <w:r>
              <w:rPr>
                <w:rFonts w:hint="eastAsia"/>
              </w:rPr>
              <w:t>×</w:t>
            </w:r>
          </w:p>
        </w:tc>
        <w:tc>
          <w:tcPr>
            <w:tcW w:w="700" w:type="dxa"/>
            <w:vAlign w:val="center"/>
          </w:tcPr>
          <w:p w14:paraId="12466C2F">
            <w:pPr>
              <w:pStyle w:val="48"/>
            </w:pPr>
            <w:r>
              <w:rPr>
                <w:rFonts w:hint="eastAsia"/>
              </w:rPr>
              <w:t>×</w:t>
            </w:r>
          </w:p>
        </w:tc>
        <w:tc>
          <w:tcPr>
            <w:tcW w:w="658" w:type="dxa"/>
            <w:vAlign w:val="center"/>
          </w:tcPr>
          <w:p w14:paraId="1277DEA8">
            <w:pPr>
              <w:pStyle w:val="48"/>
            </w:pPr>
            <w:r>
              <w:rPr>
                <w:rFonts w:hint="eastAsia"/>
              </w:rPr>
              <w:t>×</w:t>
            </w:r>
          </w:p>
        </w:tc>
      </w:tr>
      <w:tr w14:paraId="55D49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tcMar>
              <w:top w:w="15" w:type="dxa"/>
              <w:left w:w="36" w:type="dxa"/>
              <w:bottom w:w="0" w:type="dxa"/>
              <w:right w:w="36" w:type="dxa"/>
            </w:tcMar>
            <w:vAlign w:val="center"/>
          </w:tcPr>
          <w:p w14:paraId="787A4E21">
            <w:pPr>
              <w:pStyle w:val="48"/>
            </w:pPr>
          </w:p>
        </w:tc>
        <w:tc>
          <w:tcPr>
            <w:tcW w:w="1577" w:type="dxa"/>
            <w:tcMar>
              <w:top w:w="15" w:type="dxa"/>
              <w:left w:w="36" w:type="dxa"/>
              <w:bottom w:w="0" w:type="dxa"/>
              <w:right w:w="36" w:type="dxa"/>
            </w:tcMar>
            <w:vAlign w:val="center"/>
          </w:tcPr>
          <w:p w14:paraId="2E5DAFF8">
            <w:pPr>
              <w:pStyle w:val="48"/>
            </w:pPr>
            <w:r>
              <w:rPr>
                <w:rFonts w:hint="eastAsia"/>
              </w:rPr>
              <w:t>二类居住用地</w:t>
            </w:r>
          </w:p>
        </w:tc>
        <w:tc>
          <w:tcPr>
            <w:tcW w:w="1134" w:type="dxa"/>
            <w:tcMar>
              <w:top w:w="15" w:type="dxa"/>
              <w:left w:w="36" w:type="dxa"/>
              <w:bottom w:w="0" w:type="dxa"/>
              <w:right w:w="36" w:type="dxa"/>
            </w:tcMar>
            <w:vAlign w:val="center"/>
          </w:tcPr>
          <w:p w14:paraId="660F7798">
            <w:pPr>
              <w:pStyle w:val="48"/>
            </w:pPr>
            <w:r>
              <w:rPr>
                <w:rFonts w:hint="eastAsia"/>
              </w:rPr>
              <w:t>R2</w:t>
            </w:r>
          </w:p>
        </w:tc>
        <w:tc>
          <w:tcPr>
            <w:tcW w:w="992" w:type="dxa"/>
            <w:tcMar>
              <w:top w:w="15" w:type="dxa"/>
              <w:left w:w="36" w:type="dxa"/>
              <w:bottom w:w="0" w:type="dxa"/>
              <w:right w:w="36" w:type="dxa"/>
            </w:tcMar>
            <w:vAlign w:val="center"/>
          </w:tcPr>
          <w:p w14:paraId="02683330">
            <w:pPr>
              <w:pStyle w:val="48"/>
            </w:pPr>
            <w:r>
              <w:rPr>
                <w:rFonts w:hint="eastAsia"/>
              </w:rPr>
              <w:t>——</w:t>
            </w:r>
          </w:p>
        </w:tc>
        <w:tc>
          <w:tcPr>
            <w:tcW w:w="992" w:type="dxa"/>
            <w:tcMar>
              <w:top w:w="15" w:type="dxa"/>
              <w:left w:w="36" w:type="dxa"/>
              <w:bottom w:w="0" w:type="dxa"/>
              <w:right w:w="36" w:type="dxa"/>
            </w:tcMar>
            <w:vAlign w:val="center"/>
          </w:tcPr>
          <w:p w14:paraId="715BABDC">
            <w:pPr>
              <w:pStyle w:val="48"/>
            </w:pPr>
            <w:r>
              <w:rPr>
                <w:rFonts w:hint="eastAsia"/>
              </w:rPr>
              <w:t>×</w:t>
            </w:r>
          </w:p>
        </w:tc>
        <w:tc>
          <w:tcPr>
            <w:tcW w:w="992" w:type="dxa"/>
            <w:tcMar>
              <w:top w:w="15" w:type="dxa"/>
              <w:left w:w="36" w:type="dxa"/>
              <w:bottom w:w="0" w:type="dxa"/>
              <w:right w:w="36" w:type="dxa"/>
            </w:tcMar>
            <w:vAlign w:val="center"/>
          </w:tcPr>
          <w:p w14:paraId="3CCC298D">
            <w:pPr>
              <w:pStyle w:val="48"/>
            </w:pPr>
            <w:r>
              <w:rPr>
                <w:rFonts w:hint="eastAsia"/>
              </w:rPr>
              <w:t>×</w:t>
            </w:r>
          </w:p>
        </w:tc>
        <w:tc>
          <w:tcPr>
            <w:tcW w:w="930" w:type="dxa"/>
            <w:tcMar>
              <w:top w:w="15" w:type="dxa"/>
              <w:left w:w="36" w:type="dxa"/>
              <w:bottom w:w="0" w:type="dxa"/>
              <w:right w:w="36" w:type="dxa"/>
            </w:tcMar>
            <w:vAlign w:val="center"/>
          </w:tcPr>
          <w:p w14:paraId="38100820">
            <w:pPr>
              <w:pStyle w:val="48"/>
            </w:pPr>
            <w:r>
              <w:rPr>
                <w:rFonts w:hint="eastAsia"/>
              </w:rPr>
              <w:t>×</w:t>
            </w:r>
          </w:p>
        </w:tc>
        <w:tc>
          <w:tcPr>
            <w:tcW w:w="930" w:type="dxa"/>
            <w:tcMar>
              <w:top w:w="15" w:type="dxa"/>
              <w:left w:w="36" w:type="dxa"/>
              <w:bottom w:w="0" w:type="dxa"/>
              <w:right w:w="36" w:type="dxa"/>
            </w:tcMar>
            <w:vAlign w:val="center"/>
          </w:tcPr>
          <w:p w14:paraId="4D18C52A">
            <w:pPr>
              <w:pStyle w:val="48"/>
            </w:pPr>
            <w:r>
              <w:rPr>
                <w:rFonts w:hint="eastAsia"/>
              </w:rPr>
              <w:t>×</w:t>
            </w:r>
          </w:p>
        </w:tc>
        <w:tc>
          <w:tcPr>
            <w:tcW w:w="993" w:type="dxa"/>
            <w:tcMar>
              <w:top w:w="15" w:type="dxa"/>
              <w:left w:w="36" w:type="dxa"/>
              <w:bottom w:w="0" w:type="dxa"/>
              <w:right w:w="36" w:type="dxa"/>
            </w:tcMar>
            <w:vAlign w:val="center"/>
          </w:tcPr>
          <w:p w14:paraId="18299B37">
            <w:pPr>
              <w:pStyle w:val="48"/>
            </w:pPr>
            <w:r>
              <w:rPr>
                <w:rFonts w:hint="eastAsia"/>
              </w:rPr>
              <w:t>×</w:t>
            </w:r>
          </w:p>
        </w:tc>
        <w:tc>
          <w:tcPr>
            <w:tcW w:w="1204" w:type="dxa"/>
            <w:tcMar>
              <w:top w:w="15" w:type="dxa"/>
              <w:left w:w="36" w:type="dxa"/>
              <w:bottom w:w="0" w:type="dxa"/>
              <w:right w:w="36" w:type="dxa"/>
            </w:tcMar>
            <w:vAlign w:val="center"/>
          </w:tcPr>
          <w:p w14:paraId="01BCC824">
            <w:pPr>
              <w:pStyle w:val="48"/>
            </w:pPr>
            <w:r>
              <w:rPr>
                <w:rFonts w:hint="eastAsia"/>
              </w:rPr>
              <w:t>×</w:t>
            </w:r>
          </w:p>
        </w:tc>
        <w:tc>
          <w:tcPr>
            <w:tcW w:w="689" w:type="dxa"/>
            <w:tcMar>
              <w:top w:w="15" w:type="dxa"/>
              <w:left w:w="36" w:type="dxa"/>
              <w:bottom w:w="0" w:type="dxa"/>
              <w:right w:w="36" w:type="dxa"/>
            </w:tcMar>
            <w:vAlign w:val="center"/>
          </w:tcPr>
          <w:p w14:paraId="0A07CE5B">
            <w:pPr>
              <w:pStyle w:val="48"/>
            </w:pPr>
            <w:r>
              <w:rPr>
                <w:rFonts w:hint="eastAsia"/>
              </w:rPr>
              <w:t>×</w:t>
            </w:r>
          </w:p>
        </w:tc>
        <w:tc>
          <w:tcPr>
            <w:tcW w:w="867" w:type="dxa"/>
            <w:tcMar>
              <w:top w:w="15" w:type="dxa"/>
              <w:left w:w="36" w:type="dxa"/>
              <w:bottom w:w="0" w:type="dxa"/>
              <w:right w:w="36" w:type="dxa"/>
            </w:tcMar>
            <w:vAlign w:val="center"/>
          </w:tcPr>
          <w:p w14:paraId="21F2D61E">
            <w:pPr>
              <w:pStyle w:val="48"/>
            </w:pPr>
            <w:r>
              <w:rPr>
                <w:rFonts w:hint="eastAsia"/>
              </w:rPr>
              <w:t>×</w:t>
            </w:r>
          </w:p>
        </w:tc>
        <w:tc>
          <w:tcPr>
            <w:tcW w:w="784" w:type="dxa"/>
            <w:tcMar>
              <w:top w:w="15" w:type="dxa"/>
              <w:left w:w="36" w:type="dxa"/>
              <w:bottom w:w="0" w:type="dxa"/>
              <w:right w:w="36" w:type="dxa"/>
            </w:tcMar>
            <w:vAlign w:val="center"/>
          </w:tcPr>
          <w:p w14:paraId="2C6528B8">
            <w:pPr>
              <w:pStyle w:val="48"/>
            </w:pPr>
            <w:r>
              <w:rPr>
                <w:rFonts w:hint="eastAsia"/>
              </w:rPr>
              <w:t>●</w:t>
            </w:r>
          </w:p>
        </w:tc>
        <w:tc>
          <w:tcPr>
            <w:tcW w:w="1022" w:type="dxa"/>
            <w:tcMar>
              <w:top w:w="15" w:type="dxa"/>
              <w:left w:w="36" w:type="dxa"/>
              <w:bottom w:w="0" w:type="dxa"/>
              <w:right w:w="36" w:type="dxa"/>
            </w:tcMar>
            <w:vAlign w:val="center"/>
          </w:tcPr>
          <w:p w14:paraId="64675588">
            <w:pPr>
              <w:pStyle w:val="48"/>
            </w:pPr>
            <w:r>
              <w:rPr>
                <w:rFonts w:hint="eastAsia"/>
              </w:rPr>
              <w:t>●</w:t>
            </w:r>
          </w:p>
        </w:tc>
        <w:tc>
          <w:tcPr>
            <w:tcW w:w="784" w:type="dxa"/>
            <w:tcMar>
              <w:top w:w="15" w:type="dxa"/>
              <w:left w:w="36" w:type="dxa"/>
              <w:bottom w:w="0" w:type="dxa"/>
              <w:right w:w="36" w:type="dxa"/>
            </w:tcMar>
            <w:vAlign w:val="center"/>
          </w:tcPr>
          <w:p w14:paraId="0CF76691">
            <w:pPr>
              <w:pStyle w:val="48"/>
            </w:pPr>
            <w:r>
              <w:rPr>
                <w:rFonts w:hint="eastAsia"/>
              </w:rPr>
              <w:t>●</w:t>
            </w:r>
          </w:p>
        </w:tc>
        <w:tc>
          <w:tcPr>
            <w:tcW w:w="1526" w:type="dxa"/>
            <w:tcMar>
              <w:top w:w="15" w:type="dxa"/>
              <w:left w:w="36" w:type="dxa"/>
              <w:bottom w:w="0" w:type="dxa"/>
              <w:right w:w="36" w:type="dxa"/>
            </w:tcMar>
            <w:vAlign w:val="center"/>
          </w:tcPr>
          <w:p w14:paraId="3E8B3DB7">
            <w:pPr>
              <w:pStyle w:val="48"/>
            </w:pPr>
            <w:r>
              <w:rPr>
                <w:rFonts w:hint="eastAsia"/>
              </w:rPr>
              <w:t>×</w:t>
            </w:r>
          </w:p>
        </w:tc>
        <w:tc>
          <w:tcPr>
            <w:tcW w:w="1217" w:type="dxa"/>
            <w:vAlign w:val="center"/>
          </w:tcPr>
          <w:p w14:paraId="53078575">
            <w:pPr>
              <w:pStyle w:val="48"/>
            </w:pPr>
            <w:r>
              <w:rPr>
                <w:rFonts w:hint="eastAsia"/>
              </w:rPr>
              <w:t>×</w:t>
            </w:r>
          </w:p>
        </w:tc>
        <w:tc>
          <w:tcPr>
            <w:tcW w:w="756" w:type="dxa"/>
            <w:vAlign w:val="center"/>
          </w:tcPr>
          <w:p w14:paraId="057DAFFD">
            <w:pPr>
              <w:pStyle w:val="48"/>
            </w:pPr>
            <w:r>
              <w:rPr>
                <w:rFonts w:hint="eastAsia"/>
              </w:rPr>
              <w:t>×</w:t>
            </w:r>
          </w:p>
        </w:tc>
        <w:tc>
          <w:tcPr>
            <w:tcW w:w="700" w:type="dxa"/>
            <w:vAlign w:val="center"/>
          </w:tcPr>
          <w:p w14:paraId="3112FD50">
            <w:pPr>
              <w:pStyle w:val="48"/>
            </w:pPr>
            <w:r>
              <w:rPr>
                <w:rFonts w:hint="eastAsia"/>
              </w:rPr>
              <w:t>×</w:t>
            </w:r>
          </w:p>
        </w:tc>
        <w:tc>
          <w:tcPr>
            <w:tcW w:w="658" w:type="dxa"/>
            <w:vAlign w:val="center"/>
          </w:tcPr>
          <w:p w14:paraId="45892EC8">
            <w:pPr>
              <w:pStyle w:val="48"/>
            </w:pPr>
            <w:r>
              <w:rPr>
                <w:rFonts w:hint="eastAsia"/>
              </w:rPr>
              <w:t>×</w:t>
            </w:r>
          </w:p>
        </w:tc>
      </w:tr>
      <w:tr w14:paraId="249AF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restart"/>
            <w:tcMar>
              <w:top w:w="15" w:type="dxa"/>
              <w:left w:w="36" w:type="dxa"/>
              <w:bottom w:w="0" w:type="dxa"/>
              <w:right w:w="36" w:type="dxa"/>
            </w:tcMar>
            <w:vAlign w:val="center"/>
          </w:tcPr>
          <w:p w14:paraId="35D52EC9">
            <w:pPr>
              <w:pStyle w:val="48"/>
            </w:pPr>
            <w:r>
              <w:rPr>
                <w:rFonts w:hint="eastAsia"/>
              </w:rPr>
              <w:t>商业服务业设施用地</w:t>
            </w:r>
          </w:p>
        </w:tc>
        <w:tc>
          <w:tcPr>
            <w:tcW w:w="1577" w:type="dxa"/>
            <w:tcMar>
              <w:top w:w="15" w:type="dxa"/>
              <w:left w:w="36" w:type="dxa"/>
              <w:bottom w:w="0" w:type="dxa"/>
              <w:right w:w="36" w:type="dxa"/>
            </w:tcMar>
            <w:vAlign w:val="center"/>
          </w:tcPr>
          <w:p w14:paraId="12FA1720">
            <w:pPr>
              <w:pStyle w:val="48"/>
            </w:pPr>
            <w:r>
              <w:rPr>
                <w:rFonts w:hint="eastAsia"/>
              </w:rPr>
              <w:t>商业设施用地</w:t>
            </w:r>
          </w:p>
        </w:tc>
        <w:tc>
          <w:tcPr>
            <w:tcW w:w="1134" w:type="dxa"/>
            <w:tcMar>
              <w:top w:w="15" w:type="dxa"/>
              <w:left w:w="36" w:type="dxa"/>
              <w:bottom w:w="0" w:type="dxa"/>
              <w:right w:w="36" w:type="dxa"/>
            </w:tcMar>
            <w:vAlign w:val="center"/>
          </w:tcPr>
          <w:p w14:paraId="1C5FF837">
            <w:pPr>
              <w:pStyle w:val="48"/>
            </w:pPr>
            <w:r>
              <w:rPr>
                <w:rFonts w:hint="eastAsia"/>
              </w:rPr>
              <w:t>B1</w:t>
            </w:r>
          </w:p>
        </w:tc>
        <w:tc>
          <w:tcPr>
            <w:tcW w:w="992" w:type="dxa"/>
            <w:tcMar>
              <w:top w:w="15" w:type="dxa"/>
              <w:left w:w="36" w:type="dxa"/>
              <w:bottom w:w="0" w:type="dxa"/>
              <w:right w:w="36" w:type="dxa"/>
            </w:tcMar>
            <w:vAlign w:val="center"/>
          </w:tcPr>
          <w:p w14:paraId="208D58DC">
            <w:pPr>
              <w:pStyle w:val="48"/>
            </w:pPr>
            <w:r>
              <w:rPr>
                <w:rFonts w:hint="eastAsia"/>
              </w:rPr>
              <w:t>●</w:t>
            </w:r>
          </w:p>
        </w:tc>
        <w:tc>
          <w:tcPr>
            <w:tcW w:w="992" w:type="dxa"/>
            <w:tcMar>
              <w:top w:w="15" w:type="dxa"/>
              <w:left w:w="36" w:type="dxa"/>
              <w:bottom w:w="0" w:type="dxa"/>
              <w:right w:w="36" w:type="dxa"/>
            </w:tcMar>
            <w:vAlign w:val="center"/>
          </w:tcPr>
          <w:p w14:paraId="7A69947D">
            <w:pPr>
              <w:pStyle w:val="48"/>
            </w:pPr>
            <w:r>
              <w:rPr>
                <w:rFonts w:hint="eastAsia"/>
              </w:rPr>
              <w:t>●</w:t>
            </w:r>
          </w:p>
        </w:tc>
        <w:tc>
          <w:tcPr>
            <w:tcW w:w="992" w:type="dxa"/>
            <w:tcMar>
              <w:top w:w="15" w:type="dxa"/>
              <w:left w:w="36" w:type="dxa"/>
              <w:bottom w:w="0" w:type="dxa"/>
              <w:right w:w="36" w:type="dxa"/>
            </w:tcMar>
            <w:vAlign w:val="center"/>
          </w:tcPr>
          <w:p w14:paraId="00BFDDE1">
            <w:pPr>
              <w:pStyle w:val="48"/>
            </w:pPr>
            <w:r>
              <w:rPr>
                <w:rFonts w:hint="eastAsia"/>
              </w:rPr>
              <w:t>▲</w:t>
            </w:r>
          </w:p>
        </w:tc>
        <w:tc>
          <w:tcPr>
            <w:tcW w:w="930" w:type="dxa"/>
            <w:tcMar>
              <w:top w:w="15" w:type="dxa"/>
              <w:left w:w="36" w:type="dxa"/>
              <w:bottom w:w="0" w:type="dxa"/>
              <w:right w:w="36" w:type="dxa"/>
            </w:tcMar>
            <w:vAlign w:val="center"/>
          </w:tcPr>
          <w:p w14:paraId="299090C0">
            <w:pPr>
              <w:pStyle w:val="48"/>
            </w:pPr>
            <w:r>
              <w:rPr>
                <w:rFonts w:hint="eastAsia"/>
              </w:rPr>
              <w:t>×</w:t>
            </w:r>
          </w:p>
        </w:tc>
        <w:tc>
          <w:tcPr>
            <w:tcW w:w="930" w:type="dxa"/>
            <w:tcMar>
              <w:top w:w="15" w:type="dxa"/>
              <w:left w:w="36" w:type="dxa"/>
              <w:bottom w:w="0" w:type="dxa"/>
              <w:right w:w="36" w:type="dxa"/>
            </w:tcMar>
            <w:vAlign w:val="center"/>
          </w:tcPr>
          <w:p w14:paraId="1D4F6B2E">
            <w:pPr>
              <w:pStyle w:val="48"/>
            </w:pPr>
            <w:r>
              <w:rPr>
                <w:rFonts w:hint="eastAsia"/>
              </w:rPr>
              <w:t>×</w:t>
            </w:r>
          </w:p>
        </w:tc>
        <w:tc>
          <w:tcPr>
            <w:tcW w:w="993" w:type="dxa"/>
            <w:tcMar>
              <w:top w:w="15" w:type="dxa"/>
              <w:left w:w="36" w:type="dxa"/>
              <w:bottom w:w="0" w:type="dxa"/>
              <w:right w:w="36" w:type="dxa"/>
            </w:tcMar>
            <w:vAlign w:val="center"/>
          </w:tcPr>
          <w:p w14:paraId="2F2469D6">
            <w:pPr>
              <w:pStyle w:val="48"/>
            </w:pPr>
            <w:r>
              <w:rPr>
                <w:rFonts w:hint="eastAsia"/>
              </w:rPr>
              <w:t>×</w:t>
            </w:r>
          </w:p>
        </w:tc>
        <w:tc>
          <w:tcPr>
            <w:tcW w:w="1204" w:type="dxa"/>
            <w:tcMar>
              <w:top w:w="15" w:type="dxa"/>
              <w:left w:w="36" w:type="dxa"/>
              <w:bottom w:w="0" w:type="dxa"/>
              <w:right w:w="36" w:type="dxa"/>
            </w:tcMar>
            <w:vAlign w:val="center"/>
          </w:tcPr>
          <w:p w14:paraId="29801ECB">
            <w:pPr>
              <w:pStyle w:val="48"/>
            </w:pPr>
            <w:r>
              <w:rPr>
                <w:rFonts w:hint="eastAsia"/>
              </w:rPr>
              <w:t>×</w:t>
            </w:r>
          </w:p>
        </w:tc>
        <w:tc>
          <w:tcPr>
            <w:tcW w:w="689" w:type="dxa"/>
            <w:tcMar>
              <w:top w:w="15" w:type="dxa"/>
              <w:left w:w="36" w:type="dxa"/>
              <w:bottom w:w="0" w:type="dxa"/>
              <w:right w:w="36" w:type="dxa"/>
            </w:tcMar>
            <w:vAlign w:val="center"/>
          </w:tcPr>
          <w:p w14:paraId="589A5563">
            <w:pPr>
              <w:pStyle w:val="48"/>
            </w:pPr>
            <w:r>
              <w:rPr>
                <w:rFonts w:hint="eastAsia"/>
              </w:rPr>
              <w:t>×</w:t>
            </w:r>
          </w:p>
        </w:tc>
        <w:tc>
          <w:tcPr>
            <w:tcW w:w="867" w:type="dxa"/>
            <w:tcMar>
              <w:top w:w="15" w:type="dxa"/>
              <w:left w:w="36" w:type="dxa"/>
              <w:bottom w:w="0" w:type="dxa"/>
              <w:right w:w="36" w:type="dxa"/>
            </w:tcMar>
            <w:vAlign w:val="center"/>
          </w:tcPr>
          <w:p w14:paraId="7A7BD345">
            <w:pPr>
              <w:pStyle w:val="48"/>
            </w:pPr>
            <w:r>
              <w:rPr>
                <w:rFonts w:hint="eastAsia"/>
              </w:rPr>
              <w:t>×</w:t>
            </w:r>
          </w:p>
        </w:tc>
        <w:tc>
          <w:tcPr>
            <w:tcW w:w="784" w:type="dxa"/>
            <w:tcMar>
              <w:top w:w="15" w:type="dxa"/>
              <w:left w:w="36" w:type="dxa"/>
              <w:bottom w:w="0" w:type="dxa"/>
              <w:right w:w="36" w:type="dxa"/>
            </w:tcMar>
            <w:vAlign w:val="center"/>
          </w:tcPr>
          <w:p w14:paraId="153FBC34">
            <w:pPr>
              <w:pStyle w:val="48"/>
            </w:pPr>
            <w:r>
              <w:rPr>
                <w:rFonts w:hint="eastAsia"/>
              </w:rPr>
              <w:t>——</w:t>
            </w:r>
          </w:p>
        </w:tc>
        <w:tc>
          <w:tcPr>
            <w:tcW w:w="1022" w:type="dxa"/>
            <w:tcMar>
              <w:top w:w="15" w:type="dxa"/>
              <w:left w:w="36" w:type="dxa"/>
              <w:bottom w:w="0" w:type="dxa"/>
              <w:right w:w="36" w:type="dxa"/>
            </w:tcMar>
            <w:vAlign w:val="center"/>
          </w:tcPr>
          <w:p w14:paraId="4C76EF27">
            <w:pPr>
              <w:pStyle w:val="48"/>
            </w:pPr>
            <w:r>
              <w:rPr>
                <w:rFonts w:hint="eastAsia"/>
              </w:rPr>
              <w:t>●</w:t>
            </w:r>
          </w:p>
        </w:tc>
        <w:tc>
          <w:tcPr>
            <w:tcW w:w="784" w:type="dxa"/>
            <w:tcMar>
              <w:top w:w="15" w:type="dxa"/>
              <w:left w:w="36" w:type="dxa"/>
              <w:bottom w:w="0" w:type="dxa"/>
              <w:right w:w="36" w:type="dxa"/>
            </w:tcMar>
            <w:vAlign w:val="center"/>
          </w:tcPr>
          <w:p w14:paraId="2A989A8C">
            <w:pPr>
              <w:pStyle w:val="48"/>
            </w:pPr>
            <w:r>
              <w:rPr>
                <w:rFonts w:hint="eastAsia"/>
              </w:rPr>
              <w:t>●</w:t>
            </w:r>
          </w:p>
        </w:tc>
        <w:tc>
          <w:tcPr>
            <w:tcW w:w="1526" w:type="dxa"/>
            <w:tcMar>
              <w:top w:w="15" w:type="dxa"/>
              <w:left w:w="36" w:type="dxa"/>
              <w:bottom w:w="0" w:type="dxa"/>
              <w:right w:w="36" w:type="dxa"/>
            </w:tcMar>
            <w:vAlign w:val="center"/>
          </w:tcPr>
          <w:p w14:paraId="79F79B34">
            <w:pPr>
              <w:pStyle w:val="48"/>
            </w:pPr>
            <w:r>
              <w:rPr>
                <w:rFonts w:hint="eastAsia"/>
              </w:rPr>
              <w:t>●</w:t>
            </w:r>
          </w:p>
        </w:tc>
        <w:tc>
          <w:tcPr>
            <w:tcW w:w="1217" w:type="dxa"/>
            <w:vAlign w:val="center"/>
          </w:tcPr>
          <w:p w14:paraId="31B1B6A5">
            <w:pPr>
              <w:pStyle w:val="48"/>
            </w:pPr>
            <w:r>
              <w:rPr>
                <w:rFonts w:hint="eastAsia"/>
              </w:rPr>
              <w:t>×</w:t>
            </w:r>
          </w:p>
        </w:tc>
        <w:tc>
          <w:tcPr>
            <w:tcW w:w="756" w:type="dxa"/>
            <w:vAlign w:val="center"/>
          </w:tcPr>
          <w:p w14:paraId="074B5CDA">
            <w:pPr>
              <w:pStyle w:val="48"/>
            </w:pPr>
            <w:r>
              <w:rPr>
                <w:rFonts w:hint="eastAsia"/>
              </w:rPr>
              <w:t>×</w:t>
            </w:r>
          </w:p>
        </w:tc>
        <w:tc>
          <w:tcPr>
            <w:tcW w:w="700" w:type="dxa"/>
            <w:vAlign w:val="center"/>
          </w:tcPr>
          <w:p w14:paraId="0A2D523C">
            <w:pPr>
              <w:pStyle w:val="48"/>
            </w:pPr>
            <w:r>
              <w:rPr>
                <w:rFonts w:hint="eastAsia"/>
              </w:rPr>
              <w:t>×</w:t>
            </w:r>
          </w:p>
        </w:tc>
        <w:tc>
          <w:tcPr>
            <w:tcW w:w="658" w:type="dxa"/>
            <w:vAlign w:val="center"/>
          </w:tcPr>
          <w:p w14:paraId="6178F66D">
            <w:pPr>
              <w:pStyle w:val="48"/>
            </w:pPr>
            <w:r>
              <w:rPr>
                <w:rFonts w:hint="eastAsia"/>
              </w:rPr>
              <w:t>×</w:t>
            </w:r>
          </w:p>
        </w:tc>
      </w:tr>
      <w:tr w14:paraId="7A960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vAlign w:val="center"/>
          </w:tcPr>
          <w:p w14:paraId="4F7B32AD">
            <w:pPr>
              <w:pStyle w:val="48"/>
            </w:pPr>
          </w:p>
        </w:tc>
        <w:tc>
          <w:tcPr>
            <w:tcW w:w="1577" w:type="dxa"/>
            <w:tcMar>
              <w:top w:w="15" w:type="dxa"/>
              <w:left w:w="36" w:type="dxa"/>
              <w:bottom w:w="0" w:type="dxa"/>
              <w:right w:w="36" w:type="dxa"/>
            </w:tcMar>
            <w:vAlign w:val="center"/>
          </w:tcPr>
          <w:p w14:paraId="2FAF60B6">
            <w:pPr>
              <w:pStyle w:val="48"/>
            </w:pPr>
            <w:r>
              <w:rPr>
                <w:rFonts w:hint="eastAsia"/>
              </w:rPr>
              <w:t>商务设施用地</w:t>
            </w:r>
          </w:p>
          <w:p w14:paraId="37AC56B9">
            <w:pPr>
              <w:pStyle w:val="48"/>
            </w:pPr>
            <w:r>
              <w:rPr>
                <w:rFonts w:hint="eastAsia"/>
              </w:rPr>
              <w:t>（除B29）</w:t>
            </w:r>
          </w:p>
        </w:tc>
        <w:tc>
          <w:tcPr>
            <w:tcW w:w="1134" w:type="dxa"/>
            <w:tcMar>
              <w:top w:w="15" w:type="dxa"/>
              <w:left w:w="36" w:type="dxa"/>
              <w:bottom w:w="0" w:type="dxa"/>
              <w:right w:w="36" w:type="dxa"/>
            </w:tcMar>
            <w:vAlign w:val="center"/>
          </w:tcPr>
          <w:p w14:paraId="0DBB8528">
            <w:pPr>
              <w:pStyle w:val="48"/>
            </w:pPr>
            <w:r>
              <w:rPr>
                <w:rFonts w:hint="eastAsia"/>
              </w:rPr>
              <w:t>B2</w:t>
            </w:r>
          </w:p>
        </w:tc>
        <w:tc>
          <w:tcPr>
            <w:tcW w:w="992" w:type="dxa"/>
            <w:tcMar>
              <w:top w:w="15" w:type="dxa"/>
              <w:left w:w="36" w:type="dxa"/>
              <w:bottom w:w="0" w:type="dxa"/>
              <w:right w:w="36" w:type="dxa"/>
            </w:tcMar>
            <w:vAlign w:val="center"/>
          </w:tcPr>
          <w:p w14:paraId="10340F6C">
            <w:pPr>
              <w:pStyle w:val="48"/>
            </w:pPr>
            <w:r>
              <w:rPr>
                <w:rFonts w:hint="eastAsia"/>
              </w:rPr>
              <w:t>●</w:t>
            </w:r>
          </w:p>
        </w:tc>
        <w:tc>
          <w:tcPr>
            <w:tcW w:w="992" w:type="dxa"/>
            <w:tcMar>
              <w:top w:w="15" w:type="dxa"/>
              <w:left w:w="36" w:type="dxa"/>
              <w:bottom w:w="0" w:type="dxa"/>
              <w:right w:w="36" w:type="dxa"/>
            </w:tcMar>
            <w:vAlign w:val="center"/>
          </w:tcPr>
          <w:p w14:paraId="2E736CD8">
            <w:pPr>
              <w:pStyle w:val="48"/>
            </w:pPr>
            <w:r>
              <w:rPr>
                <w:rFonts w:hint="eastAsia"/>
              </w:rPr>
              <w:t>●</w:t>
            </w:r>
          </w:p>
        </w:tc>
        <w:tc>
          <w:tcPr>
            <w:tcW w:w="992" w:type="dxa"/>
            <w:tcMar>
              <w:top w:w="15" w:type="dxa"/>
              <w:left w:w="36" w:type="dxa"/>
              <w:bottom w:w="0" w:type="dxa"/>
              <w:right w:w="36" w:type="dxa"/>
            </w:tcMar>
            <w:vAlign w:val="center"/>
          </w:tcPr>
          <w:p w14:paraId="493DB34A">
            <w:pPr>
              <w:pStyle w:val="48"/>
            </w:pPr>
            <w:r>
              <w:rPr>
                <w:rFonts w:hint="eastAsia"/>
              </w:rPr>
              <w:t>▲</w:t>
            </w:r>
          </w:p>
        </w:tc>
        <w:tc>
          <w:tcPr>
            <w:tcW w:w="930" w:type="dxa"/>
            <w:tcMar>
              <w:top w:w="15" w:type="dxa"/>
              <w:left w:w="36" w:type="dxa"/>
              <w:bottom w:w="0" w:type="dxa"/>
              <w:right w:w="36" w:type="dxa"/>
            </w:tcMar>
            <w:vAlign w:val="center"/>
          </w:tcPr>
          <w:p w14:paraId="213DADA7">
            <w:pPr>
              <w:pStyle w:val="48"/>
            </w:pPr>
            <w:r>
              <w:rPr>
                <w:rFonts w:hint="eastAsia"/>
              </w:rPr>
              <w:t>×</w:t>
            </w:r>
          </w:p>
        </w:tc>
        <w:tc>
          <w:tcPr>
            <w:tcW w:w="930" w:type="dxa"/>
            <w:tcMar>
              <w:top w:w="15" w:type="dxa"/>
              <w:left w:w="36" w:type="dxa"/>
              <w:bottom w:w="0" w:type="dxa"/>
              <w:right w:w="36" w:type="dxa"/>
            </w:tcMar>
            <w:vAlign w:val="center"/>
          </w:tcPr>
          <w:p w14:paraId="538417DE">
            <w:pPr>
              <w:pStyle w:val="48"/>
            </w:pPr>
            <w:r>
              <w:rPr>
                <w:rFonts w:hint="eastAsia"/>
              </w:rPr>
              <w:t>×</w:t>
            </w:r>
          </w:p>
        </w:tc>
        <w:tc>
          <w:tcPr>
            <w:tcW w:w="993" w:type="dxa"/>
            <w:tcMar>
              <w:top w:w="15" w:type="dxa"/>
              <w:left w:w="36" w:type="dxa"/>
              <w:bottom w:w="0" w:type="dxa"/>
              <w:right w:w="36" w:type="dxa"/>
            </w:tcMar>
            <w:vAlign w:val="center"/>
          </w:tcPr>
          <w:p w14:paraId="2C63F76A">
            <w:pPr>
              <w:pStyle w:val="48"/>
            </w:pPr>
            <w:r>
              <w:rPr>
                <w:rFonts w:hint="eastAsia"/>
              </w:rPr>
              <w:t>×</w:t>
            </w:r>
          </w:p>
        </w:tc>
        <w:tc>
          <w:tcPr>
            <w:tcW w:w="1204" w:type="dxa"/>
            <w:tcMar>
              <w:top w:w="15" w:type="dxa"/>
              <w:left w:w="36" w:type="dxa"/>
              <w:bottom w:w="0" w:type="dxa"/>
              <w:right w:w="36" w:type="dxa"/>
            </w:tcMar>
            <w:vAlign w:val="center"/>
          </w:tcPr>
          <w:p w14:paraId="0C946BB8">
            <w:pPr>
              <w:pStyle w:val="48"/>
            </w:pPr>
            <w:r>
              <w:rPr>
                <w:rFonts w:hint="eastAsia"/>
              </w:rPr>
              <w:t>×</w:t>
            </w:r>
          </w:p>
        </w:tc>
        <w:tc>
          <w:tcPr>
            <w:tcW w:w="689" w:type="dxa"/>
            <w:tcMar>
              <w:top w:w="15" w:type="dxa"/>
              <w:left w:w="36" w:type="dxa"/>
              <w:bottom w:w="0" w:type="dxa"/>
              <w:right w:w="36" w:type="dxa"/>
            </w:tcMar>
            <w:vAlign w:val="center"/>
          </w:tcPr>
          <w:p w14:paraId="05E43590">
            <w:pPr>
              <w:pStyle w:val="48"/>
            </w:pPr>
            <w:r>
              <w:rPr>
                <w:rFonts w:hint="eastAsia"/>
              </w:rPr>
              <w:t>×</w:t>
            </w:r>
          </w:p>
        </w:tc>
        <w:tc>
          <w:tcPr>
            <w:tcW w:w="867" w:type="dxa"/>
            <w:tcMar>
              <w:top w:w="15" w:type="dxa"/>
              <w:left w:w="36" w:type="dxa"/>
              <w:bottom w:w="0" w:type="dxa"/>
              <w:right w:w="36" w:type="dxa"/>
            </w:tcMar>
            <w:vAlign w:val="center"/>
          </w:tcPr>
          <w:p w14:paraId="36A2FA34">
            <w:pPr>
              <w:pStyle w:val="48"/>
            </w:pPr>
            <w:r>
              <w:rPr>
                <w:rFonts w:hint="eastAsia"/>
              </w:rPr>
              <w:t>×</w:t>
            </w:r>
          </w:p>
        </w:tc>
        <w:tc>
          <w:tcPr>
            <w:tcW w:w="784" w:type="dxa"/>
            <w:tcMar>
              <w:top w:w="15" w:type="dxa"/>
              <w:left w:w="36" w:type="dxa"/>
              <w:bottom w:w="0" w:type="dxa"/>
              <w:right w:w="36" w:type="dxa"/>
            </w:tcMar>
            <w:vAlign w:val="center"/>
          </w:tcPr>
          <w:p w14:paraId="25B298DE">
            <w:pPr>
              <w:pStyle w:val="48"/>
            </w:pPr>
            <w:r>
              <w:rPr>
                <w:rFonts w:hint="eastAsia"/>
              </w:rPr>
              <w:t>●</w:t>
            </w:r>
          </w:p>
        </w:tc>
        <w:tc>
          <w:tcPr>
            <w:tcW w:w="1022" w:type="dxa"/>
            <w:tcMar>
              <w:top w:w="15" w:type="dxa"/>
              <w:left w:w="36" w:type="dxa"/>
              <w:bottom w:w="0" w:type="dxa"/>
              <w:right w:w="36" w:type="dxa"/>
            </w:tcMar>
            <w:vAlign w:val="center"/>
          </w:tcPr>
          <w:p w14:paraId="526659C9">
            <w:pPr>
              <w:pStyle w:val="48"/>
            </w:pPr>
            <w:r>
              <w:rPr>
                <w:rFonts w:hint="eastAsia"/>
              </w:rPr>
              <w:t>——</w:t>
            </w:r>
          </w:p>
        </w:tc>
        <w:tc>
          <w:tcPr>
            <w:tcW w:w="784" w:type="dxa"/>
            <w:tcMar>
              <w:top w:w="15" w:type="dxa"/>
              <w:left w:w="36" w:type="dxa"/>
              <w:bottom w:w="0" w:type="dxa"/>
              <w:right w:w="36" w:type="dxa"/>
            </w:tcMar>
            <w:vAlign w:val="center"/>
          </w:tcPr>
          <w:p w14:paraId="11E76FC5">
            <w:pPr>
              <w:pStyle w:val="48"/>
            </w:pPr>
            <w:r>
              <w:rPr>
                <w:rFonts w:hint="eastAsia"/>
              </w:rPr>
              <w:t>●</w:t>
            </w:r>
          </w:p>
        </w:tc>
        <w:tc>
          <w:tcPr>
            <w:tcW w:w="1526" w:type="dxa"/>
            <w:tcMar>
              <w:top w:w="15" w:type="dxa"/>
              <w:left w:w="36" w:type="dxa"/>
              <w:bottom w:w="0" w:type="dxa"/>
              <w:right w:w="36" w:type="dxa"/>
            </w:tcMar>
            <w:vAlign w:val="center"/>
          </w:tcPr>
          <w:p w14:paraId="61127AE5">
            <w:pPr>
              <w:pStyle w:val="48"/>
            </w:pPr>
            <w:r>
              <w:rPr>
                <w:rFonts w:hint="eastAsia"/>
              </w:rPr>
              <w:t>●</w:t>
            </w:r>
          </w:p>
        </w:tc>
        <w:tc>
          <w:tcPr>
            <w:tcW w:w="1217" w:type="dxa"/>
            <w:vAlign w:val="center"/>
          </w:tcPr>
          <w:p w14:paraId="6369BE1E">
            <w:pPr>
              <w:pStyle w:val="48"/>
            </w:pPr>
            <w:r>
              <w:rPr>
                <w:rFonts w:hint="eastAsia"/>
              </w:rPr>
              <w:t>×</w:t>
            </w:r>
          </w:p>
        </w:tc>
        <w:tc>
          <w:tcPr>
            <w:tcW w:w="756" w:type="dxa"/>
            <w:vAlign w:val="center"/>
          </w:tcPr>
          <w:p w14:paraId="488B88B3">
            <w:pPr>
              <w:pStyle w:val="48"/>
            </w:pPr>
            <w:r>
              <w:rPr>
                <w:rFonts w:hint="eastAsia"/>
              </w:rPr>
              <w:t>×</w:t>
            </w:r>
          </w:p>
        </w:tc>
        <w:tc>
          <w:tcPr>
            <w:tcW w:w="700" w:type="dxa"/>
            <w:vAlign w:val="center"/>
          </w:tcPr>
          <w:p w14:paraId="092D8820">
            <w:pPr>
              <w:pStyle w:val="48"/>
            </w:pPr>
            <w:r>
              <w:rPr>
                <w:rFonts w:hint="eastAsia"/>
              </w:rPr>
              <w:t>×</w:t>
            </w:r>
          </w:p>
        </w:tc>
        <w:tc>
          <w:tcPr>
            <w:tcW w:w="658" w:type="dxa"/>
            <w:vAlign w:val="center"/>
          </w:tcPr>
          <w:p w14:paraId="4E4945D9">
            <w:pPr>
              <w:pStyle w:val="48"/>
            </w:pPr>
            <w:r>
              <w:rPr>
                <w:rFonts w:hint="eastAsia"/>
              </w:rPr>
              <w:t>×</w:t>
            </w:r>
          </w:p>
        </w:tc>
      </w:tr>
      <w:tr w14:paraId="2DE99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vAlign w:val="center"/>
          </w:tcPr>
          <w:p w14:paraId="445451D4">
            <w:pPr>
              <w:pStyle w:val="48"/>
            </w:pPr>
          </w:p>
        </w:tc>
        <w:tc>
          <w:tcPr>
            <w:tcW w:w="1577" w:type="dxa"/>
            <w:tcMar>
              <w:top w:w="15" w:type="dxa"/>
              <w:left w:w="36" w:type="dxa"/>
              <w:bottom w:w="0" w:type="dxa"/>
              <w:right w:w="36" w:type="dxa"/>
            </w:tcMar>
            <w:vAlign w:val="center"/>
          </w:tcPr>
          <w:p w14:paraId="6CB9F48A">
            <w:pPr>
              <w:pStyle w:val="48"/>
            </w:pPr>
            <w:r>
              <w:rPr>
                <w:rFonts w:hint="eastAsia"/>
              </w:rPr>
              <w:t>娱乐康体用地</w:t>
            </w:r>
          </w:p>
        </w:tc>
        <w:tc>
          <w:tcPr>
            <w:tcW w:w="1134" w:type="dxa"/>
            <w:tcMar>
              <w:top w:w="15" w:type="dxa"/>
              <w:left w:w="36" w:type="dxa"/>
              <w:bottom w:w="0" w:type="dxa"/>
              <w:right w:w="36" w:type="dxa"/>
            </w:tcMar>
            <w:vAlign w:val="center"/>
          </w:tcPr>
          <w:p w14:paraId="5D9E919A">
            <w:pPr>
              <w:pStyle w:val="48"/>
            </w:pPr>
            <w:r>
              <w:rPr>
                <w:rFonts w:hint="eastAsia"/>
              </w:rPr>
              <w:t>B3</w:t>
            </w:r>
          </w:p>
        </w:tc>
        <w:tc>
          <w:tcPr>
            <w:tcW w:w="992" w:type="dxa"/>
            <w:tcMar>
              <w:top w:w="15" w:type="dxa"/>
              <w:left w:w="36" w:type="dxa"/>
              <w:bottom w:w="0" w:type="dxa"/>
              <w:right w:w="36" w:type="dxa"/>
            </w:tcMar>
            <w:vAlign w:val="center"/>
          </w:tcPr>
          <w:p w14:paraId="2664EB97">
            <w:pPr>
              <w:pStyle w:val="48"/>
            </w:pPr>
            <w:r>
              <w:rPr>
                <w:rFonts w:hint="eastAsia"/>
              </w:rPr>
              <w:t>●</w:t>
            </w:r>
          </w:p>
        </w:tc>
        <w:tc>
          <w:tcPr>
            <w:tcW w:w="992" w:type="dxa"/>
            <w:tcMar>
              <w:top w:w="15" w:type="dxa"/>
              <w:left w:w="36" w:type="dxa"/>
              <w:bottom w:w="0" w:type="dxa"/>
              <w:right w:w="36" w:type="dxa"/>
            </w:tcMar>
            <w:vAlign w:val="center"/>
          </w:tcPr>
          <w:p w14:paraId="59708549">
            <w:pPr>
              <w:pStyle w:val="48"/>
            </w:pPr>
            <w:r>
              <w:rPr>
                <w:rFonts w:hint="eastAsia"/>
              </w:rPr>
              <w:t>▲</w:t>
            </w:r>
          </w:p>
        </w:tc>
        <w:tc>
          <w:tcPr>
            <w:tcW w:w="992" w:type="dxa"/>
            <w:tcMar>
              <w:top w:w="15" w:type="dxa"/>
              <w:left w:w="36" w:type="dxa"/>
              <w:bottom w:w="0" w:type="dxa"/>
              <w:right w:w="36" w:type="dxa"/>
            </w:tcMar>
            <w:vAlign w:val="center"/>
          </w:tcPr>
          <w:p w14:paraId="54DEF464">
            <w:pPr>
              <w:pStyle w:val="48"/>
            </w:pPr>
            <w:r>
              <w:rPr>
                <w:rFonts w:hint="eastAsia"/>
              </w:rPr>
              <w:t>▲</w:t>
            </w:r>
          </w:p>
        </w:tc>
        <w:tc>
          <w:tcPr>
            <w:tcW w:w="930" w:type="dxa"/>
            <w:tcMar>
              <w:top w:w="15" w:type="dxa"/>
              <w:left w:w="36" w:type="dxa"/>
              <w:bottom w:w="0" w:type="dxa"/>
              <w:right w:w="36" w:type="dxa"/>
            </w:tcMar>
            <w:vAlign w:val="center"/>
          </w:tcPr>
          <w:p w14:paraId="55A69BC1">
            <w:pPr>
              <w:pStyle w:val="48"/>
            </w:pPr>
            <w:r>
              <w:rPr>
                <w:rFonts w:hint="eastAsia"/>
              </w:rPr>
              <w:t>×</w:t>
            </w:r>
          </w:p>
        </w:tc>
        <w:tc>
          <w:tcPr>
            <w:tcW w:w="930" w:type="dxa"/>
            <w:tcMar>
              <w:top w:w="15" w:type="dxa"/>
              <w:left w:w="36" w:type="dxa"/>
              <w:bottom w:w="0" w:type="dxa"/>
              <w:right w:w="36" w:type="dxa"/>
            </w:tcMar>
            <w:vAlign w:val="center"/>
          </w:tcPr>
          <w:p w14:paraId="27D7A94C">
            <w:pPr>
              <w:pStyle w:val="48"/>
            </w:pPr>
            <w:r>
              <w:rPr>
                <w:rFonts w:hint="eastAsia"/>
              </w:rPr>
              <w:t>×</w:t>
            </w:r>
          </w:p>
        </w:tc>
        <w:tc>
          <w:tcPr>
            <w:tcW w:w="993" w:type="dxa"/>
            <w:tcMar>
              <w:top w:w="15" w:type="dxa"/>
              <w:left w:w="36" w:type="dxa"/>
              <w:bottom w:w="0" w:type="dxa"/>
              <w:right w:w="36" w:type="dxa"/>
            </w:tcMar>
            <w:vAlign w:val="center"/>
          </w:tcPr>
          <w:p w14:paraId="61015CC4">
            <w:pPr>
              <w:pStyle w:val="48"/>
            </w:pPr>
            <w:r>
              <w:rPr>
                <w:rFonts w:hint="eastAsia"/>
              </w:rPr>
              <w:t>×</w:t>
            </w:r>
          </w:p>
        </w:tc>
        <w:tc>
          <w:tcPr>
            <w:tcW w:w="1204" w:type="dxa"/>
            <w:tcMar>
              <w:top w:w="15" w:type="dxa"/>
              <w:left w:w="36" w:type="dxa"/>
              <w:bottom w:w="0" w:type="dxa"/>
              <w:right w:w="36" w:type="dxa"/>
            </w:tcMar>
            <w:vAlign w:val="center"/>
          </w:tcPr>
          <w:p w14:paraId="1276739D">
            <w:pPr>
              <w:pStyle w:val="48"/>
            </w:pPr>
            <w:r>
              <w:rPr>
                <w:rFonts w:hint="eastAsia"/>
              </w:rPr>
              <w:t>×</w:t>
            </w:r>
          </w:p>
        </w:tc>
        <w:tc>
          <w:tcPr>
            <w:tcW w:w="689" w:type="dxa"/>
            <w:tcMar>
              <w:top w:w="15" w:type="dxa"/>
              <w:left w:w="36" w:type="dxa"/>
              <w:bottom w:w="0" w:type="dxa"/>
              <w:right w:w="36" w:type="dxa"/>
            </w:tcMar>
            <w:vAlign w:val="center"/>
          </w:tcPr>
          <w:p w14:paraId="071EF992">
            <w:pPr>
              <w:pStyle w:val="48"/>
            </w:pPr>
            <w:r>
              <w:rPr>
                <w:rFonts w:hint="eastAsia"/>
              </w:rPr>
              <w:t>×</w:t>
            </w:r>
          </w:p>
        </w:tc>
        <w:tc>
          <w:tcPr>
            <w:tcW w:w="867" w:type="dxa"/>
            <w:tcMar>
              <w:top w:w="15" w:type="dxa"/>
              <w:left w:w="36" w:type="dxa"/>
              <w:bottom w:w="0" w:type="dxa"/>
              <w:right w:w="36" w:type="dxa"/>
            </w:tcMar>
            <w:vAlign w:val="center"/>
          </w:tcPr>
          <w:p w14:paraId="2686F896">
            <w:pPr>
              <w:pStyle w:val="48"/>
            </w:pPr>
            <w:r>
              <w:rPr>
                <w:rFonts w:hint="eastAsia"/>
              </w:rPr>
              <w:t>×</w:t>
            </w:r>
          </w:p>
        </w:tc>
        <w:tc>
          <w:tcPr>
            <w:tcW w:w="784" w:type="dxa"/>
            <w:tcMar>
              <w:top w:w="15" w:type="dxa"/>
              <w:left w:w="36" w:type="dxa"/>
              <w:bottom w:w="0" w:type="dxa"/>
              <w:right w:w="36" w:type="dxa"/>
            </w:tcMar>
            <w:vAlign w:val="center"/>
          </w:tcPr>
          <w:p w14:paraId="1B5A407D">
            <w:pPr>
              <w:pStyle w:val="48"/>
            </w:pPr>
            <w:r>
              <w:rPr>
                <w:rFonts w:hint="eastAsia"/>
              </w:rPr>
              <w:t>●</w:t>
            </w:r>
          </w:p>
        </w:tc>
        <w:tc>
          <w:tcPr>
            <w:tcW w:w="1022" w:type="dxa"/>
            <w:tcMar>
              <w:top w:w="15" w:type="dxa"/>
              <w:left w:w="36" w:type="dxa"/>
              <w:bottom w:w="0" w:type="dxa"/>
              <w:right w:w="36" w:type="dxa"/>
            </w:tcMar>
            <w:vAlign w:val="center"/>
          </w:tcPr>
          <w:p w14:paraId="47BAAC4F">
            <w:pPr>
              <w:pStyle w:val="48"/>
            </w:pPr>
            <w:r>
              <w:rPr>
                <w:rFonts w:hint="eastAsia"/>
              </w:rPr>
              <w:t>●</w:t>
            </w:r>
          </w:p>
        </w:tc>
        <w:tc>
          <w:tcPr>
            <w:tcW w:w="784" w:type="dxa"/>
            <w:tcMar>
              <w:top w:w="15" w:type="dxa"/>
              <w:left w:w="36" w:type="dxa"/>
              <w:bottom w:w="0" w:type="dxa"/>
              <w:right w:w="36" w:type="dxa"/>
            </w:tcMar>
            <w:vAlign w:val="center"/>
          </w:tcPr>
          <w:p w14:paraId="4674815B">
            <w:pPr>
              <w:pStyle w:val="48"/>
            </w:pPr>
            <w:r>
              <w:rPr>
                <w:rFonts w:hint="eastAsia"/>
              </w:rPr>
              <w:t>——</w:t>
            </w:r>
          </w:p>
        </w:tc>
        <w:tc>
          <w:tcPr>
            <w:tcW w:w="1526" w:type="dxa"/>
            <w:tcMar>
              <w:top w:w="15" w:type="dxa"/>
              <w:left w:w="36" w:type="dxa"/>
              <w:bottom w:w="0" w:type="dxa"/>
              <w:right w:w="36" w:type="dxa"/>
            </w:tcMar>
            <w:vAlign w:val="center"/>
          </w:tcPr>
          <w:p w14:paraId="3AF258E1">
            <w:pPr>
              <w:pStyle w:val="48"/>
            </w:pPr>
            <w:r>
              <w:rPr>
                <w:rFonts w:hint="eastAsia"/>
              </w:rPr>
              <w:t>●</w:t>
            </w:r>
          </w:p>
        </w:tc>
        <w:tc>
          <w:tcPr>
            <w:tcW w:w="1217" w:type="dxa"/>
            <w:vAlign w:val="center"/>
          </w:tcPr>
          <w:p w14:paraId="1DAD747F">
            <w:pPr>
              <w:pStyle w:val="48"/>
            </w:pPr>
            <w:r>
              <w:rPr>
                <w:rFonts w:hint="eastAsia"/>
              </w:rPr>
              <w:t>×</w:t>
            </w:r>
          </w:p>
        </w:tc>
        <w:tc>
          <w:tcPr>
            <w:tcW w:w="756" w:type="dxa"/>
            <w:vAlign w:val="center"/>
          </w:tcPr>
          <w:p w14:paraId="34E4A3A4">
            <w:pPr>
              <w:pStyle w:val="48"/>
            </w:pPr>
            <w:r>
              <w:rPr>
                <w:rFonts w:hint="eastAsia"/>
              </w:rPr>
              <w:t>×</w:t>
            </w:r>
          </w:p>
        </w:tc>
        <w:tc>
          <w:tcPr>
            <w:tcW w:w="700" w:type="dxa"/>
            <w:vAlign w:val="center"/>
          </w:tcPr>
          <w:p w14:paraId="6B0E480D">
            <w:pPr>
              <w:pStyle w:val="48"/>
            </w:pPr>
            <w:r>
              <w:rPr>
                <w:rFonts w:hint="eastAsia"/>
              </w:rPr>
              <w:t>×</w:t>
            </w:r>
          </w:p>
        </w:tc>
        <w:tc>
          <w:tcPr>
            <w:tcW w:w="658" w:type="dxa"/>
            <w:vAlign w:val="center"/>
          </w:tcPr>
          <w:p w14:paraId="7EA687D1">
            <w:pPr>
              <w:pStyle w:val="48"/>
            </w:pPr>
            <w:r>
              <w:rPr>
                <w:rFonts w:hint="eastAsia"/>
              </w:rPr>
              <w:t>×</w:t>
            </w:r>
          </w:p>
        </w:tc>
      </w:tr>
      <w:tr w14:paraId="5059A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vAlign w:val="center"/>
          </w:tcPr>
          <w:p w14:paraId="131355E4">
            <w:pPr>
              <w:pStyle w:val="48"/>
            </w:pPr>
          </w:p>
        </w:tc>
        <w:tc>
          <w:tcPr>
            <w:tcW w:w="1577" w:type="dxa"/>
            <w:tcMar>
              <w:top w:w="15" w:type="dxa"/>
              <w:left w:w="36" w:type="dxa"/>
              <w:bottom w:w="0" w:type="dxa"/>
              <w:right w:w="36" w:type="dxa"/>
            </w:tcMar>
            <w:vAlign w:val="center"/>
          </w:tcPr>
          <w:p w14:paraId="2D7A380B">
            <w:pPr>
              <w:pStyle w:val="48"/>
            </w:pPr>
            <w:r>
              <w:rPr>
                <w:rFonts w:hint="eastAsia"/>
              </w:rPr>
              <w:t>其它服务设施</w:t>
            </w:r>
          </w:p>
        </w:tc>
        <w:tc>
          <w:tcPr>
            <w:tcW w:w="1134" w:type="dxa"/>
            <w:tcMar>
              <w:top w:w="15" w:type="dxa"/>
              <w:left w:w="36" w:type="dxa"/>
              <w:bottom w:w="0" w:type="dxa"/>
              <w:right w:w="36" w:type="dxa"/>
            </w:tcMar>
            <w:vAlign w:val="center"/>
          </w:tcPr>
          <w:p w14:paraId="6B8A8EE1">
            <w:pPr>
              <w:pStyle w:val="48"/>
            </w:pPr>
            <w:r>
              <w:rPr>
                <w:rFonts w:hint="eastAsia"/>
              </w:rPr>
              <w:t>B9</w:t>
            </w:r>
          </w:p>
        </w:tc>
        <w:tc>
          <w:tcPr>
            <w:tcW w:w="992" w:type="dxa"/>
            <w:tcMar>
              <w:top w:w="15" w:type="dxa"/>
              <w:left w:w="36" w:type="dxa"/>
              <w:bottom w:w="0" w:type="dxa"/>
              <w:right w:w="36" w:type="dxa"/>
            </w:tcMar>
            <w:vAlign w:val="center"/>
          </w:tcPr>
          <w:p w14:paraId="78E53BF1">
            <w:pPr>
              <w:pStyle w:val="48"/>
            </w:pPr>
            <w:r>
              <w:rPr>
                <w:rFonts w:hint="eastAsia"/>
              </w:rPr>
              <w:t>▲</w:t>
            </w:r>
          </w:p>
        </w:tc>
        <w:tc>
          <w:tcPr>
            <w:tcW w:w="992" w:type="dxa"/>
            <w:tcMar>
              <w:top w:w="15" w:type="dxa"/>
              <w:left w:w="36" w:type="dxa"/>
              <w:bottom w:w="0" w:type="dxa"/>
              <w:right w:w="36" w:type="dxa"/>
            </w:tcMar>
            <w:vAlign w:val="center"/>
          </w:tcPr>
          <w:p w14:paraId="01ED82F5">
            <w:pPr>
              <w:pStyle w:val="48"/>
            </w:pPr>
            <w:r>
              <w:rPr>
                <w:rFonts w:hint="eastAsia"/>
              </w:rPr>
              <w:t>▲</w:t>
            </w:r>
          </w:p>
        </w:tc>
        <w:tc>
          <w:tcPr>
            <w:tcW w:w="992" w:type="dxa"/>
            <w:tcMar>
              <w:top w:w="15" w:type="dxa"/>
              <w:left w:w="36" w:type="dxa"/>
              <w:bottom w:w="0" w:type="dxa"/>
              <w:right w:w="36" w:type="dxa"/>
            </w:tcMar>
            <w:vAlign w:val="center"/>
          </w:tcPr>
          <w:p w14:paraId="453C7892">
            <w:pPr>
              <w:pStyle w:val="48"/>
            </w:pPr>
            <w:r>
              <w:rPr>
                <w:rFonts w:hint="eastAsia"/>
              </w:rPr>
              <w:t>▲</w:t>
            </w:r>
          </w:p>
        </w:tc>
        <w:tc>
          <w:tcPr>
            <w:tcW w:w="930" w:type="dxa"/>
            <w:tcMar>
              <w:top w:w="15" w:type="dxa"/>
              <w:left w:w="36" w:type="dxa"/>
              <w:bottom w:w="0" w:type="dxa"/>
              <w:right w:w="36" w:type="dxa"/>
            </w:tcMar>
            <w:vAlign w:val="center"/>
          </w:tcPr>
          <w:p w14:paraId="6AB9A97A">
            <w:pPr>
              <w:pStyle w:val="48"/>
            </w:pPr>
            <w:r>
              <w:rPr>
                <w:rFonts w:hint="eastAsia"/>
              </w:rPr>
              <w:t>×</w:t>
            </w:r>
          </w:p>
        </w:tc>
        <w:tc>
          <w:tcPr>
            <w:tcW w:w="930" w:type="dxa"/>
            <w:tcMar>
              <w:top w:w="15" w:type="dxa"/>
              <w:left w:w="36" w:type="dxa"/>
              <w:bottom w:w="0" w:type="dxa"/>
              <w:right w:w="36" w:type="dxa"/>
            </w:tcMar>
            <w:vAlign w:val="center"/>
          </w:tcPr>
          <w:p w14:paraId="4328F7E7">
            <w:pPr>
              <w:pStyle w:val="48"/>
            </w:pPr>
            <w:r>
              <w:rPr>
                <w:rFonts w:hint="eastAsia"/>
              </w:rPr>
              <w:t>×</w:t>
            </w:r>
          </w:p>
        </w:tc>
        <w:tc>
          <w:tcPr>
            <w:tcW w:w="993" w:type="dxa"/>
            <w:tcMar>
              <w:top w:w="15" w:type="dxa"/>
              <w:left w:w="36" w:type="dxa"/>
              <w:bottom w:w="0" w:type="dxa"/>
              <w:right w:w="36" w:type="dxa"/>
            </w:tcMar>
            <w:vAlign w:val="center"/>
          </w:tcPr>
          <w:p w14:paraId="45DADF79">
            <w:pPr>
              <w:pStyle w:val="48"/>
            </w:pPr>
            <w:r>
              <w:rPr>
                <w:rFonts w:hint="eastAsia"/>
              </w:rPr>
              <w:t>×</w:t>
            </w:r>
          </w:p>
        </w:tc>
        <w:tc>
          <w:tcPr>
            <w:tcW w:w="1204" w:type="dxa"/>
            <w:tcMar>
              <w:top w:w="15" w:type="dxa"/>
              <w:left w:w="36" w:type="dxa"/>
              <w:bottom w:w="0" w:type="dxa"/>
              <w:right w:w="36" w:type="dxa"/>
            </w:tcMar>
            <w:vAlign w:val="center"/>
          </w:tcPr>
          <w:p w14:paraId="631218AF">
            <w:pPr>
              <w:pStyle w:val="48"/>
            </w:pPr>
            <w:r>
              <w:rPr>
                <w:rFonts w:hint="eastAsia"/>
              </w:rPr>
              <w:t>×</w:t>
            </w:r>
          </w:p>
        </w:tc>
        <w:tc>
          <w:tcPr>
            <w:tcW w:w="689" w:type="dxa"/>
            <w:tcMar>
              <w:top w:w="15" w:type="dxa"/>
              <w:left w:w="36" w:type="dxa"/>
              <w:bottom w:w="0" w:type="dxa"/>
              <w:right w:w="36" w:type="dxa"/>
            </w:tcMar>
            <w:vAlign w:val="center"/>
          </w:tcPr>
          <w:p w14:paraId="76D9CAE9">
            <w:pPr>
              <w:pStyle w:val="48"/>
            </w:pPr>
            <w:r>
              <w:rPr>
                <w:rFonts w:hint="eastAsia"/>
              </w:rPr>
              <w:t>×</w:t>
            </w:r>
          </w:p>
        </w:tc>
        <w:tc>
          <w:tcPr>
            <w:tcW w:w="867" w:type="dxa"/>
            <w:tcMar>
              <w:top w:w="15" w:type="dxa"/>
              <w:left w:w="36" w:type="dxa"/>
              <w:bottom w:w="0" w:type="dxa"/>
              <w:right w:w="36" w:type="dxa"/>
            </w:tcMar>
            <w:vAlign w:val="center"/>
          </w:tcPr>
          <w:p w14:paraId="0F734D5D">
            <w:pPr>
              <w:pStyle w:val="48"/>
            </w:pPr>
            <w:r>
              <w:rPr>
                <w:rFonts w:hint="eastAsia"/>
              </w:rPr>
              <w:t>×</w:t>
            </w:r>
          </w:p>
        </w:tc>
        <w:tc>
          <w:tcPr>
            <w:tcW w:w="784" w:type="dxa"/>
            <w:tcMar>
              <w:top w:w="15" w:type="dxa"/>
              <w:left w:w="36" w:type="dxa"/>
              <w:bottom w:w="0" w:type="dxa"/>
              <w:right w:w="36" w:type="dxa"/>
            </w:tcMar>
            <w:vAlign w:val="center"/>
          </w:tcPr>
          <w:p w14:paraId="39CFF87D">
            <w:pPr>
              <w:pStyle w:val="48"/>
            </w:pPr>
            <w:r>
              <w:rPr>
                <w:rFonts w:hint="eastAsia"/>
              </w:rPr>
              <w:t>▲</w:t>
            </w:r>
          </w:p>
        </w:tc>
        <w:tc>
          <w:tcPr>
            <w:tcW w:w="1022" w:type="dxa"/>
            <w:tcMar>
              <w:top w:w="15" w:type="dxa"/>
              <w:left w:w="36" w:type="dxa"/>
              <w:bottom w:w="0" w:type="dxa"/>
              <w:right w:w="36" w:type="dxa"/>
            </w:tcMar>
            <w:vAlign w:val="center"/>
          </w:tcPr>
          <w:p w14:paraId="0B4671F9">
            <w:pPr>
              <w:pStyle w:val="48"/>
            </w:pPr>
            <w:r>
              <w:rPr>
                <w:rFonts w:hint="eastAsia"/>
              </w:rPr>
              <w:t>▲</w:t>
            </w:r>
          </w:p>
        </w:tc>
        <w:tc>
          <w:tcPr>
            <w:tcW w:w="784" w:type="dxa"/>
            <w:tcMar>
              <w:top w:w="15" w:type="dxa"/>
              <w:left w:w="36" w:type="dxa"/>
              <w:bottom w:w="0" w:type="dxa"/>
              <w:right w:w="36" w:type="dxa"/>
            </w:tcMar>
            <w:vAlign w:val="center"/>
          </w:tcPr>
          <w:p w14:paraId="4482B463">
            <w:pPr>
              <w:pStyle w:val="48"/>
            </w:pPr>
            <w:r>
              <w:rPr>
                <w:rFonts w:hint="eastAsia"/>
              </w:rPr>
              <w:t>▲</w:t>
            </w:r>
          </w:p>
        </w:tc>
        <w:tc>
          <w:tcPr>
            <w:tcW w:w="1526" w:type="dxa"/>
            <w:tcMar>
              <w:top w:w="15" w:type="dxa"/>
              <w:left w:w="36" w:type="dxa"/>
              <w:bottom w:w="0" w:type="dxa"/>
              <w:right w:w="36" w:type="dxa"/>
            </w:tcMar>
            <w:vAlign w:val="center"/>
          </w:tcPr>
          <w:p w14:paraId="1F6AB3A1">
            <w:pPr>
              <w:pStyle w:val="48"/>
            </w:pPr>
            <w:r>
              <w:rPr>
                <w:rFonts w:hint="eastAsia"/>
              </w:rPr>
              <w:t>●</w:t>
            </w:r>
          </w:p>
        </w:tc>
        <w:tc>
          <w:tcPr>
            <w:tcW w:w="1217" w:type="dxa"/>
            <w:vAlign w:val="center"/>
          </w:tcPr>
          <w:p w14:paraId="6E20AF02">
            <w:pPr>
              <w:pStyle w:val="48"/>
            </w:pPr>
            <w:r>
              <w:rPr>
                <w:rFonts w:hint="eastAsia"/>
              </w:rPr>
              <w:t>×</w:t>
            </w:r>
          </w:p>
        </w:tc>
        <w:tc>
          <w:tcPr>
            <w:tcW w:w="756" w:type="dxa"/>
            <w:vAlign w:val="center"/>
          </w:tcPr>
          <w:p w14:paraId="71BABBDD">
            <w:pPr>
              <w:pStyle w:val="48"/>
            </w:pPr>
            <w:r>
              <w:rPr>
                <w:rFonts w:hint="eastAsia"/>
              </w:rPr>
              <w:t>×</w:t>
            </w:r>
          </w:p>
        </w:tc>
        <w:tc>
          <w:tcPr>
            <w:tcW w:w="700" w:type="dxa"/>
            <w:vAlign w:val="center"/>
          </w:tcPr>
          <w:p w14:paraId="46E4DD57">
            <w:pPr>
              <w:pStyle w:val="48"/>
            </w:pPr>
            <w:r>
              <w:rPr>
                <w:rFonts w:hint="eastAsia"/>
              </w:rPr>
              <w:t>×</w:t>
            </w:r>
          </w:p>
        </w:tc>
        <w:tc>
          <w:tcPr>
            <w:tcW w:w="658" w:type="dxa"/>
            <w:vAlign w:val="center"/>
          </w:tcPr>
          <w:p w14:paraId="21C60136">
            <w:pPr>
              <w:pStyle w:val="48"/>
            </w:pPr>
            <w:r>
              <w:rPr>
                <w:rFonts w:hint="eastAsia"/>
              </w:rPr>
              <w:t>×</w:t>
            </w:r>
          </w:p>
        </w:tc>
      </w:tr>
      <w:tr w14:paraId="6B25F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restart"/>
            <w:tcMar>
              <w:top w:w="15" w:type="dxa"/>
              <w:left w:w="36" w:type="dxa"/>
              <w:bottom w:w="0" w:type="dxa"/>
              <w:right w:w="36" w:type="dxa"/>
            </w:tcMar>
            <w:vAlign w:val="center"/>
          </w:tcPr>
          <w:p w14:paraId="4B3BF202">
            <w:pPr>
              <w:pStyle w:val="48"/>
            </w:pPr>
            <w:r>
              <w:rPr>
                <w:rFonts w:hint="eastAsia"/>
              </w:rPr>
              <w:t>公共管理与公共设施用地</w:t>
            </w:r>
          </w:p>
        </w:tc>
        <w:tc>
          <w:tcPr>
            <w:tcW w:w="1577" w:type="dxa"/>
            <w:tcMar>
              <w:top w:w="15" w:type="dxa"/>
              <w:left w:w="36" w:type="dxa"/>
              <w:bottom w:w="0" w:type="dxa"/>
              <w:right w:w="36" w:type="dxa"/>
            </w:tcMar>
            <w:vAlign w:val="center"/>
          </w:tcPr>
          <w:p w14:paraId="4B5521DB">
            <w:pPr>
              <w:pStyle w:val="48"/>
            </w:pPr>
            <w:r>
              <w:rPr>
                <w:rFonts w:hint="eastAsia"/>
              </w:rPr>
              <w:t>行政办公用地</w:t>
            </w:r>
          </w:p>
        </w:tc>
        <w:tc>
          <w:tcPr>
            <w:tcW w:w="1134" w:type="dxa"/>
            <w:tcMar>
              <w:top w:w="15" w:type="dxa"/>
              <w:left w:w="36" w:type="dxa"/>
              <w:bottom w:w="0" w:type="dxa"/>
              <w:right w:w="36" w:type="dxa"/>
            </w:tcMar>
            <w:vAlign w:val="center"/>
          </w:tcPr>
          <w:p w14:paraId="3711D194">
            <w:pPr>
              <w:pStyle w:val="48"/>
            </w:pPr>
            <w:r>
              <w:rPr>
                <w:rFonts w:hint="eastAsia"/>
              </w:rPr>
              <w:t>A1</w:t>
            </w:r>
          </w:p>
        </w:tc>
        <w:tc>
          <w:tcPr>
            <w:tcW w:w="992" w:type="dxa"/>
            <w:tcMar>
              <w:top w:w="15" w:type="dxa"/>
              <w:left w:w="36" w:type="dxa"/>
              <w:bottom w:w="0" w:type="dxa"/>
              <w:right w:w="36" w:type="dxa"/>
            </w:tcMar>
            <w:vAlign w:val="center"/>
          </w:tcPr>
          <w:p w14:paraId="23EBA946">
            <w:pPr>
              <w:pStyle w:val="48"/>
            </w:pPr>
            <w:r>
              <w:rPr>
                <w:rFonts w:hint="eastAsia"/>
              </w:rPr>
              <w:t>▲</w:t>
            </w:r>
          </w:p>
        </w:tc>
        <w:tc>
          <w:tcPr>
            <w:tcW w:w="992" w:type="dxa"/>
            <w:tcMar>
              <w:top w:w="15" w:type="dxa"/>
              <w:left w:w="36" w:type="dxa"/>
              <w:bottom w:w="0" w:type="dxa"/>
              <w:right w:w="36" w:type="dxa"/>
            </w:tcMar>
            <w:vAlign w:val="center"/>
          </w:tcPr>
          <w:p w14:paraId="6908F636">
            <w:pPr>
              <w:pStyle w:val="48"/>
            </w:pPr>
            <w:r>
              <w:rPr>
                <w:rFonts w:hint="eastAsia"/>
              </w:rPr>
              <w:t>▲</w:t>
            </w:r>
          </w:p>
        </w:tc>
        <w:tc>
          <w:tcPr>
            <w:tcW w:w="992" w:type="dxa"/>
            <w:tcMar>
              <w:top w:w="15" w:type="dxa"/>
              <w:left w:w="36" w:type="dxa"/>
              <w:bottom w:w="0" w:type="dxa"/>
              <w:right w:w="36" w:type="dxa"/>
            </w:tcMar>
            <w:vAlign w:val="center"/>
          </w:tcPr>
          <w:p w14:paraId="101B48E1">
            <w:pPr>
              <w:pStyle w:val="48"/>
            </w:pPr>
            <w:r>
              <w:rPr>
                <w:rFonts w:hint="eastAsia"/>
              </w:rPr>
              <w:t>▲</w:t>
            </w:r>
          </w:p>
        </w:tc>
        <w:tc>
          <w:tcPr>
            <w:tcW w:w="930" w:type="dxa"/>
            <w:tcMar>
              <w:top w:w="15" w:type="dxa"/>
              <w:left w:w="36" w:type="dxa"/>
              <w:bottom w:w="0" w:type="dxa"/>
              <w:right w:w="36" w:type="dxa"/>
            </w:tcMar>
            <w:vAlign w:val="center"/>
          </w:tcPr>
          <w:p w14:paraId="4F176FF6">
            <w:pPr>
              <w:pStyle w:val="48"/>
            </w:pPr>
            <w:r>
              <w:rPr>
                <w:rFonts w:hint="eastAsia"/>
              </w:rPr>
              <w:t>——</w:t>
            </w:r>
          </w:p>
        </w:tc>
        <w:tc>
          <w:tcPr>
            <w:tcW w:w="930" w:type="dxa"/>
            <w:tcMar>
              <w:top w:w="15" w:type="dxa"/>
              <w:left w:w="36" w:type="dxa"/>
              <w:bottom w:w="0" w:type="dxa"/>
              <w:right w:w="36" w:type="dxa"/>
            </w:tcMar>
            <w:vAlign w:val="center"/>
          </w:tcPr>
          <w:p w14:paraId="21C18409">
            <w:pPr>
              <w:pStyle w:val="48"/>
            </w:pPr>
            <w:r>
              <w:rPr>
                <w:rFonts w:hint="eastAsia"/>
              </w:rPr>
              <w:t>——</w:t>
            </w:r>
          </w:p>
        </w:tc>
        <w:tc>
          <w:tcPr>
            <w:tcW w:w="993" w:type="dxa"/>
            <w:tcMar>
              <w:top w:w="15" w:type="dxa"/>
              <w:left w:w="36" w:type="dxa"/>
              <w:bottom w:w="0" w:type="dxa"/>
              <w:right w:w="36" w:type="dxa"/>
            </w:tcMar>
            <w:vAlign w:val="center"/>
          </w:tcPr>
          <w:p w14:paraId="5E1CE30F">
            <w:pPr>
              <w:pStyle w:val="48"/>
            </w:pPr>
            <w:r>
              <w:rPr>
                <w:rFonts w:hint="eastAsia"/>
              </w:rPr>
              <w:t>▲</w:t>
            </w:r>
          </w:p>
        </w:tc>
        <w:tc>
          <w:tcPr>
            <w:tcW w:w="1204" w:type="dxa"/>
            <w:tcMar>
              <w:top w:w="15" w:type="dxa"/>
              <w:left w:w="36" w:type="dxa"/>
              <w:bottom w:w="0" w:type="dxa"/>
              <w:right w:w="36" w:type="dxa"/>
            </w:tcMar>
            <w:vAlign w:val="center"/>
          </w:tcPr>
          <w:p w14:paraId="6C69E75F">
            <w:pPr>
              <w:pStyle w:val="48"/>
            </w:pPr>
            <w:r>
              <w:rPr>
                <w:rFonts w:hint="eastAsia"/>
              </w:rPr>
              <w:t>▲</w:t>
            </w:r>
          </w:p>
        </w:tc>
        <w:tc>
          <w:tcPr>
            <w:tcW w:w="689" w:type="dxa"/>
            <w:tcMar>
              <w:top w:w="15" w:type="dxa"/>
              <w:left w:w="36" w:type="dxa"/>
              <w:bottom w:w="0" w:type="dxa"/>
              <w:right w:w="36" w:type="dxa"/>
            </w:tcMar>
            <w:vAlign w:val="center"/>
          </w:tcPr>
          <w:p w14:paraId="6FCF689E">
            <w:pPr>
              <w:pStyle w:val="48"/>
            </w:pPr>
            <w:r>
              <w:rPr>
                <w:rFonts w:hint="eastAsia"/>
              </w:rPr>
              <w:t>▲</w:t>
            </w:r>
          </w:p>
        </w:tc>
        <w:tc>
          <w:tcPr>
            <w:tcW w:w="867" w:type="dxa"/>
            <w:tcMar>
              <w:top w:w="15" w:type="dxa"/>
              <w:left w:w="36" w:type="dxa"/>
              <w:bottom w:w="0" w:type="dxa"/>
              <w:right w:w="36" w:type="dxa"/>
            </w:tcMar>
            <w:vAlign w:val="center"/>
          </w:tcPr>
          <w:p w14:paraId="20A08D20">
            <w:pPr>
              <w:pStyle w:val="48"/>
            </w:pPr>
            <w:r>
              <w:rPr>
                <w:rFonts w:hint="eastAsia"/>
              </w:rPr>
              <w:t>▲</w:t>
            </w:r>
          </w:p>
        </w:tc>
        <w:tc>
          <w:tcPr>
            <w:tcW w:w="784" w:type="dxa"/>
            <w:tcMar>
              <w:top w:w="15" w:type="dxa"/>
              <w:left w:w="36" w:type="dxa"/>
              <w:bottom w:w="0" w:type="dxa"/>
              <w:right w:w="36" w:type="dxa"/>
            </w:tcMar>
            <w:vAlign w:val="center"/>
          </w:tcPr>
          <w:p w14:paraId="52210EFD">
            <w:pPr>
              <w:pStyle w:val="48"/>
            </w:pPr>
            <w:r>
              <w:rPr>
                <w:rFonts w:hint="eastAsia"/>
              </w:rPr>
              <w:t>▲</w:t>
            </w:r>
          </w:p>
        </w:tc>
        <w:tc>
          <w:tcPr>
            <w:tcW w:w="1022" w:type="dxa"/>
            <w:tcMar>
              <w:top w:w="15" w:type="dxa"/>
              <w:left w:w="36" w:type="dxa"/>
              <w:bottom w:w="0" w:type="dxa"/>
              <w:right w:w="36" w:type="dxa"/>
            </w:tcMar>
            <w:vAlign w:val="center"/>
          </w:tcPr>
          <w:p w14:paraId="29CE7125">
            <w:pPr>
              <w:pStyle w:val="48"/>
            </w:pPr>
            <w:r>
              <w:rPr>
                <w:rFonts w:hint="eastAsia"/>
              </w:rPr>
              <w:t>▲</w:t>
            </w:r>
          </w:p>
        </w:tc>
        <w:tc>
          <w:tcPr>
            <w:tcW w:w="784" w:type="dxa"/>
            <w:tcMar>
              <w:top w:w="15" w:type="dxa"/>
              <w:left w:w="36" w:type="dxa"/>
              <w:bottom w:w="0" w:type="dxa"/>
              <w:right w:w="36" w:type="dxa"/>
            </w:tcMar>
            <w:vAlign w:val="center"/>
          </w:tcPr>
          <w:p w14:paraId="6E5EBEE7">
            <w:pPr>
              <w:pStyle w:val="48"/>
            </w:pPr>
            <w:r>
              <w:rPr>
                <w:rFonts w:hint="eastAsia"/>
              </w:rPr>
              <w:t>▲</w:t>
            </w:r>
          </w:p>
        </w:tc>
        <w:tc>
          <w:tcPr>
            <w:tcW w:w="1526" w:type="dxa"/>
            <w:tcMar>
              <w:top w:w="15" w:type="dxa"/>
              <w:left w:w="36" w:type="dxa"/>
              <w:bottom w:w="0" w:type="dxa"/>
              <w:right w:w="36" w:type="dxa"/>
            </w:tcMar>
            <w:vAlign w:val="center"/>
          </w:tcPr>
          <w:p w14:paraId="685366B1">
            <w:pPr>
              <w:pStyle w:val="48"/>
            </w:pPr>
            <w:r>
              <w:rPr>
                <w:rFonts w:hint="eastAsia"/>
              </w:rPr>
              <w:t>×</w:t>
            </w:r>
          </w:p>
        </w:tc>
        <w:tc>
          <w:tcPr>
            <w:tcW w:w="1217" w:type="dxa"/>
            <w:vAlign w:val="center"/>
          </w:tcPr>
          <w:p w14:paraId="03F27066">
            <w:pPr>
              <w:pStyle w:val="48"/>
            </w:pPr>
            <w:r>
              <w:rPr>
                <w:rFonts w:hint="eastAsia"/>
              </w:rPr>
              <w:t>×</w:t>
            </w:r>
          </w:p>
        </w:tc>
        <w:tc>
          <w:tcPr>
            <w:tcW w:w="756" w:type="dxa"/>
            <w:vAlign w:val="center"/>
          </w:tcPr>
          <w:p w14:paraId="5F361308">
            <w:pPr>
              <w:pStyle w:val="48"/>
            </w:pPr>
            <w:r>
              <w:rPr>
                <w:rFonts w:hint="eastAsia"/>
              </w:rPr>
              <w:t>×</w:t>
            </w:r>
          </w:p>
        </w:tc>
        <w:tc>
          <w:tcPr>
            <w:tcW w:w="700" w:type="dxa"/>
            <w:vAlign w:val="center"/>
          </w:tcPr>
          <w:p w14:paraId="55E144C0">
            <w:pPr>
              <w:pStyle w:val="48"/>
            </w:pPr>
            <w:r>
              <w:rPr>
                <w:rFonts w:hint="eastAsia"/>
              </w:rPr>
              <w:t>×</w:t>
            </w:r>
          </w:p>
        </w:tc>
        <w:tc>
          <w:tcPr>
            <w:tcW w:w="658" w:type="dxa"/>
            <w:vAlign w:val="center"/>
          </w:tcPr>
          <w:p w14:paraId="6141793A">
            <w:pPr>
              <w:pStyle w:val="48"/>
            </w:pPr>
            <w:r>
              <w:rPr>
                <w:rFonts w:hint="eastAsia"/>
              </w:rPr>
              <w:t>×</w:t>
            </w:r>
          </w:p>
        </w:tc>
      </w:tr>
      <w:tr w14:paraId="5EF27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vAlign w:val="center"/>
          </w:tcPr>
          <w:p w14:paraId="2ADF0B8C">
            <w:pPr>
              <w:pStyle w:val="48"/>
            </w:pPr>
          </w:p>
        </w:tc>
        <w:tc>
          <w:tcPr>
            <w:tcW w:w="1577" w:type="dxa"/>
            <w:tcMar>
              <w:top w:w="15" w:type="dxa"/>
              <w:left w:w="36" w:type="dxa"/>
              <w:bottom w:w="0" w:type="dxa"/>
              <w:right w:w="36" w:type="dxa"/>
            </w:tcMar>
            <w:vAlign w:val="center"/>
          </w:tcPr>
          <w:p w14:paraId="57487C4A">
            <w:pPr>
              <w:pStyle w:val="48"/>
            </w:pPr>
            <w:r>
              <w:rPr>
                <w:rFonts w:hint="eastAsia"/>
              </w:rPr>
              <w:t>文化设施用地</w:t>
            </w:r>
          </w:p>
        </w:tc>
        <w:tc>
          <w:tcPr>
            <w:tcW w:w="1134" w:type="dxa"/>
            <w:tcMar>
              <w:top w:w="15" w:type="dxa"/>
              <w:left w:w="36" w:type="dxa"/>
              <w:bottom w:w="0" w:type="dxa"/>
              <w:right w:w="36" w:type="dxa"/>
            </w:tcMar>
            <w:vAlign w:val="center"/>
          </w:tcPr>
          <w:p w14:paraId="18FE942E">
            <w:pPr>
              <w:pStyle w:val="48"/>
            </w:pPr>
            <w:r>
              <w:rPr>
                <w:rFonts w:hint="eastAsia"/>
              </w:rPr>
              <w:t>A2</w:t>
            </w:r>
          </w:p>
        </w:tc>
        <w:tc>
          <w:tcPr>
            <w:tcW w:w="992" w:type="dxa"/>
            <w:tcMar>
              <w:top w:w="15" w:type="dxa"/>
              <w:left w:w="36" w:type="dxa"/>
              <w:bottom w:w="0" w:type="dxa"/>
              <w:right w:w="36" w:type="dxa"/>
            </w:tcMar>
            <w:vAlign w:val="center"/>
          </w:tcPr>
          <w:p w14:paraId="58934CEC">
            <w:pPr>
              <w:pStyle w:val="48"/>
            </w:pPr>
            <w:r>
              <w:rPr>
                <w:rFonts w:hint="eastAsia"/>
              </w:rPr>
              <w:t>▲</w:t>
            </w:r>
          </w:p>
        </w:tc>
        <w:tc>
          <w:tcPr>
            <w:tcW w:w="992" w:type="dxa"/>
            <w:tcMar>
              <w:top w:w="15" w:type="dxa"/>
              <w:left w:w="36" w:type="dxa"/>
              <w:bottom w:w="0" w:type="dxa"/>
              <w:right w:w="36" w:type="dxa"/>
            </w:tcMar>
            <w:vAlign w:val="center"/>
          </w:tcPr>
          <w:p w14:paraId="49677D52">
            <w:pPr>
              <w:pStyle w:val="48"/>
            </w:pPr>
            <w:r>
              <w:rPr>
                <w:rFonts w:hint="eastAsia"/>
              </w:rPr>
              <w:t>▲</w:t>
            </w:r>
          </w:p>
        </w:tc>
        <w:tc>
          <w:tcPr>
            <w:tcW w:w="992" w:type="dxa"/>
            <w:tcMar>
              <w:top w:w="15" w:type="dxa"/>
              <w:left w:w="36" w:type="dxa"/>
              <w:bottom w:w="0" w:type="dxa"/>
              <w:right w:w="36" w:type="dxa"/>
            </w:tcMar>
            <w:vAlign w:val="center"/>
          </w:tcPr>
          <w:p w14:paraId="29DFE02A">
            <w:pPr>
              <w:pStyle w:val="48"/>
            </w:pPr>
            <w:r>
              <w:rPr>
                <w:rFonts w:hint="eastAsia"/>
              </w:rPr>
              <w:t>▲</w:t>
            </w:r>
          </w:p>
        </w:tc>
        <w:tc>
          <w:tcPr>
            <w:tcW w:w="930" w:type="dxa"/>
            <w:tcMar>
              <w:top w:w="15" w:type="dxa"/>
              <w:left w:w="36" w:type="dxa"/>
              <w:bottom w:w="0" w:type="dxa"/>
              <w:right w:w="36" w:type="dxa"/>
            </w:tcMar>
            <w:vAlign w:val="center"/>
          </w:tcPr>
          <w:p w14:paraId="690514EB">
            <w:pPr>
              <w:pStyle w:val="48"/>
            </w:pPr>
            <w:r>
              <w:rPr>
                <w:rFonts w:hint="eastAsia"/>
              </w:rPr>
              <w:t>——</w:t>
            </w:r>
          </w:p>
        </w:tc>
        <w:tc>
          <w:tcPr>
            <w:tcW w:w="930" w:type="dxa"/>
            <w:tcMar>
              <w:top w:w="15" w:type="dxa"/>
              <w:left w:w="36" w:type="dxa"/>
              <w:bottom w:w="0" w:type="dxa"/>
              <w:right w:w="36" w:type="dxa"/>
            </w:tcMar>
            <w:vAlign w:val="center"/>
          </w:tcPr>
          <w:p w14:paraId="18EC2246">
            <w:pPr>
              <w:pStyle w:val="48"/>
            </w:pPr>
            <w:r>
              <w:rPr>
                <w:rFonts w:hint="eastAsia"/>
              </w:rPr>
              <w:t>▲</w:t>
            </w:r>
          </w:p>
        </w:tc>
        <w:tc>
          <w:tcPr>
            <w:tcW w:w="993" w:type="dxa"/>
            <w:tcMar>
              <w:top w:w="15" w:type="dxa"/>
              <w:left w:w="36" w:type="dxa"/>
              <w:bottom w:w="0" w:type="dxa"/>
              <w:right w:w="36" w:type="dxa"/>
            </w:tcMar>
            <w:vAlign w:val="center"/>
          </w:tcPr>
          <w:p w14:paraId="127447BB">
            <w:pPr>
              <w:pStyle w:val="48"/>
            </w:pPr>
            <w:r>
              <w:rPr>
                <w:rFonts w:hint="eastAsia"/>
              </w:rPr>
              <w:t>——</w:t>
            </w:r>
          </w:p>
        </w:tc>
        <w:tc>
          <w:tcPr>
            <w:tcW w:w="1204" w:type="dxa"/>
            <w:tcMar>
              <w:top w:w="15" w:type="dxa"/>
              <w:left w:w="36" w:type="dxa"/>
              <w:bottom w:w="0" w:type="dxa"/>
              <w:right w:w="36" w:type="dxa"/>
            </w:tcMar>
            <w:vAlign w:val="center"/>
          </w:tcPr>
          <w:p w14:paraId="1E329AF3">
            <w:pPr>
              <w:pStyle w:val="48"/>
            </w:pPr>
            <w:r>
              <w:rPr>
                <w:rFonts w:hint="eastAsia"/>
              </w:rPr>
              <w:t>▲</w:t>
            </w:r>
          </w:p>
        </w:tc>
        <w:tc>
          <w:tcPr>
            <w:tcW w:w="689" w:type="dxa"/>
            <w:tcMar>
              <w:top w:w="15" w:type="dxa"/>
              <w:left w:w="36" w:type="dxa"/>
              <w:bottom w:w="0" w:type="dxa"/>
              <w:right w:w="36" w:type="dxa"/>
            </w:tcMar>
            <w:vAlign w:val="center"/>
          </w:tcPr>
          <w:p w14:paraId="3742A80A">
            <w:pPr>
              <w:pStyle w:val="48"/>
            </w:pPr>
            <w:r>
              <w:rPr>
                <w:rFonts w:hint="eastAsia"/>
              </w:rPr>
              <w:t>▲</w:t>
            </w:r>
          </w:p>
        </w:tc>
        <w:tc>
          <w:tcPr>
            <w:tcW w:w="867" w:type="dxa"/>
            <w:tcMar>
              <w:top w:w="15" w:type="dxa"/>
              <w:left w:w="36" w:type="dxa"/>
              <w:bottom w:w="0" w:type="dxa"/>
              <w:right w:w="36" w:type="dxa"/>
            </w:tcMar>
            <w:vAlign w:val="center"/>
          </w:tcPr>
          <w:p w14:paraId="29C79ECB">
            <w:pPr>
              <w:pStyle w:val="48"/>
            </w:pPr>
            <w:r>
              <w:rPr>
                <w:rFonts w:hint="eastAsia"/>
              </w:rPr>
              <w:t>▲</w:t>
            </w:r>
          </w:p>
        </w:tc>
        <w:tc>
          <w:tcPr>
            <w:tcW w:w="784" w:type="dxa"/>
            <w:tcMar>
              <w:top w:w="15" w:type="dxa"/>
              <w:left w:w="36" w:type="dxa"/>
              <w:bottom w:w="0" w:type="dxa"/>
              <w:right w:w="36" w:type="dxa"/>
            </w:tcMar>
            <w:vAlign w:val="center"/>
          </w:tcPr>
          <w:p w14:paraId="6C0E868E">
            <w:pPr>
              <w:pStyle w:val="48"/>
            </w:pPr>
            <w:r>
              <w:rPr>
                <w:rFonts w:hint="eastAsia"/>
              </w:rPr>
              <w:t>▲</w:t>
            </w:r>
          </w:p>
        </w:tc>
        <w:tc>
          <w:tcPr>
            <w:tcW w:w="1022" w:type="dxa"/>
            <w:tcMar>
              <w:top w:w="15" w:type="dxa"/>
              <w:left w:w="36" w:type="dxa"/>
              <w:bottom w:w="0" w:type="dxa"/>
              <w:right w:w="36" w:type="dxa"/>
            </w:tcMar>
            <w:vAlign w:val="center"/>
          </w:tcPr>
          <w:p w14:paraId="7576E9A7">
            <w:pPr>
              <w:pStyle w:val="48"/>
            </w:pPr>
            <w:r>
              <w:rPr>
                <w:rFonts w:hint="eastAsia"/>
              </w:rPr>
              <w:t>▲</w:t>
            </w:r>
          </w:p>
        </w:tc>
        <w:tc>
          <w:tcPr>
            <w:tcW w:w="784" w:type="dxa"/>
            <w:tcMar>
              <w:top w:w="15" w:type="dxa"/>
              <w:left w:w="36" w:type="dxa"/>
              <w:bottom w:w="0" w:type="dxa"/>
              <w:right w:w="36" w:type="dxa"/>
            </w:tcMar>
            <w:vAlign w:val="center"/>
          </w:tcPr>
          <w:p w14:paraId="628A73B1">
            <w:pPr>
              <w:pStyle w:val="48"/>
            </w:pPr>
            <w:r>
              <w:rPr>
                <w:rFonts w:hint="eastAsia"/>
              </w:rPr>
              <w:t>▲</w:t>
            </w:r>
          </w:p>
        </w:tc>
        <w:tc>
          <w:tcPr>
            <w:tcW w:w="1526" w:type="dxa"/>
            <w:tcMar>
              <w:top w:w="15" w:type="dxa"/>
              <w:left w:w="36" w:type="dxa"/>
              <w:bottom w:w="0" w:type="dxa"/>
              <w:right w:w="36" w:type="dxa"/>
            </w:tcMar>
            <w:vAlign w:val="center"/>
          </w:tcPr>
          <w:p w14:paraId="6E0027ED">
            <w:pPr>
              <w:pStyle w:val="48"/>
            </w:pPr>
            <w:r>
              <w:rPr>
                <w:rFonts w:hint="eastAsia"/>
              </w:rPr>
              <w:t>×</w:t>
            </w:r>
          </w:p>
        </w:tc>
        <w:tc>
          <w:tcPr>
            <w:tcW w:w="1217" w:type="dxa"/>
            <w:vAlign w:val="center"/>
          </w:tcPr>
          <w:p w14:paraId="234C3240">
            <w:pPr>
              <w:pStyle w:val="48"/>
            </w:pPr>
            <w:r>
              <w:rPr>
                <w:rFonts w:hint="eastAsia"/>
              </w:rPr>
              <w:t>×</w:t>
            </w:r>
          </w:p>
        </w:tc>
        <w:tc>
          <w:tcPr>
            <w:tcW w:w="756" w:type="dxa"/>
            <w:vAlign w:val="center"/>
          </w:tcPr>
          <w:p w14:paraId="06611821">
            <w:pPr>
              <w:pStyle w:val="48"/>
            </w:pPr>
            <w:r>
              <w:rPr>
                <w:rFonts w:hint="eastAsia"/>
              </w:rPr>
              <w:t>×</w:t>
            </w:r>
          </w:p>
        </w:tc>
        <w:tc>
          <w:tcPr>
            <w:tcW w:w="700" w:type="dxa"/>
            <w:vAlign w:val="center"/>
          </w:tcPr>
          <w:p w14:paraId="77095F57">
            <w:pPr>
              <w:pStyle w:val="48"/>
            </w:pPr>
            <w:r>
              <w:rPr>
                <w:rFonts w:hint="eastAsia"/>
              </w:rPr>
              <w:t>×</w:t>
            </w:r>
          </w:p>
        </w:tc>
        <w:tc>
          <w:tcPr>
            <w:tcW w:w="658" w:type="dxa"/>
            <w:vAlign w:val="center"/>
          </w:tcPr>
          <w:p w14:paraId="7361F362">
            <w:pPr>
              <w:pStyle w:val="48"/>
            </w:pPr>
            <w:r>
              <w:rPr>
                <w:rFonts w:hint="eastAsia"/>
              </w:rPr>
              <w:t>×</w:t>
            </w:r>
          </w:p>
        </w:tc>
      </w:tr>
      <w:tr w14:paraId="07190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vAlign w:val="center"/>
          </w:tcPr>
          <w:p w14:paraId="08027784">
            <w:pPr>
              <w:pStyle w:val="48"/>
            </w:pPr>
          </w:p>
        </w:tc>
        <w:tc>
          <w:tcPr>
            <w:tcW w:w="1577" w:type="dxa"/>
            <w:tcMar>
              <w:top w:w="15" w:type="dxa"/>
              <w:left w:w="36" w:type="dxa"/>
              <w:bottom w:w="0" w:type="dxa"/>
              <w:right w:w="36" w:type="dxa"/>
            </w:tcMar>
            <w:vAlign w:val="center"/>
          </w:tcPr>
          <w:p w14:paraId="3A3CD55C">
            <w:pPr>
              <w:pStyle w:val="48"/>
            </w:pPr>
            <w:r>
              <w:rPr>
                <w:rFonts w:hint="eastAsia"/>
              </w:rPr>
              <w:t>教育科研用地</w:t>
            </w:r>
          </w:p>
          <w:p w14:paraId="09A112BD">
            <w:pPr>
              <w:pStyle w:val="48"/>
            </w:pPr>
            <w:r>
              <w:rPr>
                <w:rFonts w:hint="eastAsia"/>
              </w:rPr>
              <w:t>（除A35）</w:t>
            </w:r>
          </w:p>
        </w:tc>
        <w:tc>
          <w:tcPr>
            <w:tcW w:w="1134" w:type="dxa"/>
            <w:tcMar>
              <w:top w:w="15" w:type="dxa"/>
              <w:left w:w="36" w:type="dxa"/>
              <w:bottom w:w="0" w:type="dxa"/>
              <w:right w:w="36" w:type="dxa"/>
            </w:tcMar>
            <w:vAlign w:val="center"/>
          </w:tcPr>
          <w:p w14:paraId="7A46D7E3">
            <w:pPr>
              <w:pStyle w:val="48"/>
            </w:pPr>
            <w:r>
              <w:rPr>
                <w:rFonts w:hint="eastAsia"/>
              </w:rPr>
              <w:t>A3</w:t>
            </w:r>
          </w:p>
        </w:tc>
        <w:tc>
          <w:tcPr>
            <w:tcW w:w="992" w:type="dxa"/>
            <w:tcMar>
              <w:top w:w="15" w:type="dxa"/>
              <w:left w:w="36" w:type="dxa"/>
              <w:bottom w:w="0" w:type="dxa"/>
              <w:right w:w="36" w:type="dxa"/>
            </w:tcMar>
            <w:vAlign w:val="center"/>
          </w:tcPr>
          <w:p w14:paraId="3DDB5A7A">
            <w:pPr>
              <w:pStyle w:val="48"/>
            </w:pPr>
            <w:r>
              <w:rPr>
                <w:rFonts w:hint="eastAsia"/>
              </w:rPr>
              <w:t>▲</w:t>
            </w:r>
          </w:p>
        </w:tc>
        <w:tc>
          <w:tcPr>
            <w:tcW w:w="992" w:type="dxa"/>
            <w:tcMar>
              <w:top w:w="15" w:type="dxa"/>
              <w:left w:w="36" w:type="dxa"/>
              <w:bottom w:w="0" w:type="dxa"/>
              <w:right w:w="36" w:type="dxa"/>
            </w:tcMar>
            <w:vAlign w:val="center"/>
          </w:tcPr>
          <w:p w14:paraId="08424F97">
            <w:pPr>
              <w:pStyle w:val="48"/>
            </w:pPr>
            <w:r>
              <w:rPr>
                <w:rFonts w:hint="eastAsia"/>
              </w:rPr>
              <w:t>▲</w:t>
            </w:r>
          </w:p>
        </w:tc>
        <w:tc>
          <w:tcPr>
            <w:tcW w:w="992" w:type="dxa"/>
            <w:tcMar>
              <w:top w:w="15" w:type="dxa"/>
              <w:left w:w="36" w:type="dxa"/>
              <w:bottom w:w="0" w:type="dxa"/>
              <w:right w:w="36" w:type="dxa"/>
            </w:tcMar>
            <w:vAlign w:val="center"/>
          </w:tcPr>
          <w:p w14:paraId="20A6DCC6">
            <w:pPr>
              <w:pStyle w:val="48"/>
            </w:pPr>
            <w:r>
              <w:rPr>
                <w:rFonts w:hint="eastAsia"/>
              </w:rPr>
              <w:t>▲</w:t>
            </w:r>
          </w:p>
        </w:tc>
        <w:tc>
          <w:tcPr>
            <w:tcW w:w="930" w:type="dxa"/>
            <w:tcMar>
              <w:top w:w="15" w:type="dxa"/>
              <w:left w:w="36" w:type="dxa"/>
              <w:bottom w:w="0" w:type="dxa"/>
              <w:right w:w="36" w:type="dxa"/>
            </w:tcMar>
            <w:vAlign w:val="center"/>
          </w:tcPr>
          <w:p w14:paraId="656F5635">
            <w:pPr>
              <w:pStyle w:val="48"/>
            </w:pPr>
            <w:r>
              <w:rPr>
                <w:rFonts w:hint="eastAsia"/>
              </w:rPr>
              <w:t>▲</w:t>
            </w:r>
          </w:p>
        </w:tc>
        <w:tc>
          <w:tcPr>
            <w:tcW w:w="930" w:type="dxa"/>
            <w:tcMar>
              <w:top w:w="15" w:type="dxa"/>
              <w:left w:w="36" w:type="dxa"/>
              <w:bottom w:w="0" w:type="dxa"/>
              <w:right w:w="36" w:type="dxa"/>
            </w:tcMar>
            <w:vAlign w:val="center"/>
          </w:tcPr>
          <w:p w14:paraId="1195F894">
            <w:pPr>
              <w:pStyle w:val="48"/>
            </w:pPr>
            <w:r>
              <w:rPr>
                <w:rFonts w:hint="eastAsia"/>
              </w:rPr>
              <w:t>▲</w:t>
            </w:r>
          </w:p>
        </w:tc>
        <w:tc>
          <w:tcPr>
            <w:tcW w:w="993" w:type="dxa"/>
            <w:tcMar>
              <w:top w:w="15" w:type="dxa"/>
              <w:left w:w="36" w:type="dxa"/>
              <w:bottom w:w="0" w:type="dxa"/>
              <w:right w:w="36" w:type="dxa"/>
            </w:tcMar>
            <w:vAlign w:val="center"/>
          </w:tcPr>
          <w:p w14:paraId="197ADC81">
            <w:pPr>
              <w:pStyle w:val="48"/>
            </w:pPr>
            <w:r>
              <w:rPr>
                <w:rFonts w:hint="eastAsia"/>
              </w:rPr>
              <w:t>▲</w:t>
            </w:r>
          </w:p>
        </w:tc>
        <w:tc>
          <w:tcPr>
            <w:tcW w:w="1204" w:type="dxa"/>
            <w:tcMar>
              <w:top w:w="15" w:type="dxa"/>
              <w:left w:w="36" w:type="dxa"/>
              <w:bottom w:w="0" w:type="dxa"/>
              <w:right w:w="36" w:type="dxa"/>
            </w:tcMar>
            <w:vAlign w:val="center"/>
          </w:tcPr>
          <w:p w14:paraId="71E94F76">
            <w:pPr>
              <w:pStyle w:val="48"/>
            </w:pPr>
            <w:r>
              <w:rPr>
                <w:rFonts w:hint="eastAsia"/>
              </w:rPr>
              <w:t>——</w:t>
            </w:r>
          </w:p>
        </w:tc>
        <w:tc>
          <w:tcPr>
            <w:tcW w:w="689" w:type="dxa"/>
            <w:tcMar>
              <w:top w:w="15" w:type="dxa"/>
              <w:left w:w="36" w:type="dxa"/>
              <w:bottom w:w="0" w:type="dxa"/>
              <w:right w:w="36" w:type="dxa"/>
            </w:tcMar>
            <w:vAlign w:val="center"/>
          </w:tcPr>
          <w:p w14:paraId="7E33278A">
            <w:pPr>
              <w:pStyle w:val="48"/>
            </w:pPr>
            <w:r>
              <w:rPr>
                <w:rFonts w:hint="eastAsia"/>
              </w:rPr>
              <w:t>▲</w:t>
            </w:r>
          </w:p>
        </w:tc>
        <w:tc>
          <w:tcPr>
            <w:tcW w:w="867" w:type="dxa"/>
            <w:tcMar>
              <w:top w:w="15" w:type="dxa"/>
              <w:left w:w="36" w:type="dxa"/>
              <w:bottom w:w="0" w:type="dxa"/>
              <w:right w:w="36" w:type="dxa"/>
            </w:tcMar>
            <w:vAlign w:val="center"/>
          </w:tcPr>
          <w:p w14:paraId="44DFE782">
            <w:pPr>
              <w:pStyle w:val="48"/>
            </w:pPr>
            <w:r>
              <w:rPr>
                <w:rFonts w:hint="eastAsia"/>
              </w:rPr>
              <w:t>▲</w:t>
            </w:r>
          </w:p>
        </w:tc>
        <w:tc>
          <w:tcPr>
            <w:tcW w:w="784" w:type="dxa"/>
            <w:tcMar>
              <w:top w:w="15" w:type="dxa"/>
              <w:left w:w="36" w:type="dxa"/>
              <w:bottom w:w="0" w:type="dxa"/>
              <w:right w:w="36" w:type="dxa"/>
            </w:tcMar>
            <w:vAlign w:val="center"/>
          </w:tcPr>
          <w:p w14:paraId="5110CBE8">
            <w:pPr>
              <w:pStyle w:val="48"/>
            </w:pPr>
            <w:r>
              <w:rPr>
                <w:rFonts w:hint="eastAsia"/>
              </w:rPr>
              <w:t>▲</w:t>
            </w:r>
          </w:p>
        </w:tc>
        <w:tc>
          <w:tcPr>
            <w:tcW w:w="1022" w:type="dxa"/>
            <w:tcMar>
              <w:top w:w="15" w:type="dxa"/>
              <w:left w:w="36" w:type="dxa"/>
              <w:bottom w:w="0" w:type="dxa"/>
              <w:right w:w="36" w:type="dxa"/>
            </w:tcMar>
            <w:vAlign w:val="center"/>
          </w:tcPr>
          <w:p w14:paraId="0F998DF3">
            <w:pPr>
              <w:pStyle w:val="48"/>
            </w:pPr>
            <w:r>
              <w:rPr>
                <w:rFonts w:hint="eastAsia"/>
              </w:rPr>
              <w:t>▲</w:t>
            </w:r>
          </w:p>
        </w:tc>
        <w:tc>
          <w:tcPr>
            <w:tcW w:w="784" w:type="dxa"/>
            <w:tcMar>
              <w:top w:w="15" w:type="dxa"/>
              <w:left w:w="36" w:type="dxa"/>
              <w:bottom w:w="0" w:type="dxa"/>
              <w:right w:w="36" w:type="dxa"/>
            </w:tcMar>
            <w:vAlign w:val="center"/>
          </w:tcPr>
          <w:p w14:paraId="0F5D248D">
            <w:pPr>
              <w:pStyle w:val="48"/>
            </w:pPr>
            <w:r>
              <w:rPr>
                <w:rFonts w:hint="eastAsia"/>
              </w:rPr>
              <w:t>▲</w:t>
            </w:r>
          </w:p>
        </w:tc>
        <w:tc>
          <w:tcPr>
            <w:tcW w:w="1526" w:type="dxa"/>
            <w:tcMar>
              <w:top w:w="15" w:type="dxa"/>
              <w:left w:w="36" w:type="dxa"/>
              <w:bottom w:w="0" w:type="dxa"/>
              <w:right w:w="36" w:type="dxa"/>
            </w:tcMar>
            <w:vAlign w:val="center"/>
          </w:tcPr>
          <w:p w14:paraId="418AAB90">
            <w:pPr>
              <w:pStyle w:val="48"/>
            </w:pPr>
            <w:r>
              <w:rPr>
                <w:rFonts w:hint="eastAsia"/>
              </w:rPr>
              <w:t>×</w:t>
            </w:r>
          </w:p>
        </w:tc>
        <w:tc>
          <w:tcPr>
            <w:tcW w:w="1217" w:type="dxa"/>
            <w:vAlign w:val="center"/>
          </w:tcPr>
          <w:p w14:paraId="3E4020F6">
            <w:pPr>
              <w:pStyle w:val="48"/>
            </w:pPr>
            <w:r>
              <w:rPr>
                <w:rFonts w:hint="eastAsia"/>
              </w:rPr>
              <w:t>×</w:t>
            </w:r>
          </w:p>
        </w:tc>
        <w:tc>
          <w:tcPr>
            <w:tcW w:w="756" w:type="dxa"/>
            <w:vAlign w:val="center"/>
          </w:tcPr>
          <w:p w14:paraId="1BA6E351">
            <w:pPr>
              <w:pStyle w:val="48"/>
            </w:pPr>
            <w:r>
              <w:rPr>
                <w:rFonts w:hint="eastAsia"/>
              </w:rPr>
              <w:t>×</w:t>
            </w:r>
          </w:p>
        </w:tc>
        <w:tc>
          <w:tcPr>
            <w:tcW w:w="700" w:type="dxa"/>
            <w:vAlign w:val="center"/>
          </w:tcPr>
          <w:p w14:paraId="299F2EDA">
            <w:pPr>
              <w:pStyle w:val="48"/>
            </w:pPr>
            <w:r>
              <w:rPr>
                <w:rFonts w:hint="eastAsia"/>
              </w:rPr>
              <w:t>×</w:t>
            </w:r>
          </w:p>
        </w:tc>
        <w:tc>
          <w:tcPr>
            <w:tcW w:w="658" w:type="dxa"/>
            <w:vAlign w:val="center"/>
          </w:tcPr>
          <w:p w14:paraId="738A09FC">
            <w:pPr>
              <w:pStyle w:val="48"/>
            </w:pPr>
            <w:r>
              <w:rPr>
                <w:rFonts w:hint="eastAsia"/>
              </w:rPr>
              <w:t>×</w:t>
            </w:r>
          </w:p>
        </w:tc>
      </w:tr>
      <w:tr w14:paraId="73974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vAlign w:val="center"/>
          </w:tcPr>
          <w:p w14:paraId="221CA16C">
            <w:pPr>
              <w:pStyle w:val="48"/>
            </w:pPr>
          </w:p>
        </w:tc>
        <w:tc>
          <w:tcPr>
            <w:tcW w:w="1577" w:type="dxa"/>
            <w:tcMar>
              <w:top w:w="15" w:type="dxa"/>
              <w:left w:w="36" w:type="dxa"/>
              <w:bottom w:w="0" w:type="dxa"/>
              <w:right w:w="36" w:type="dxa"/>
            </w:tcMar>
            <w:vAlign w:val="center"/>
          </w:tcPr>
          <w:p w14:paraId="28D7C8E2">
            <w:pPr>
              <w:pStyle w:val="48"/>
            </w:pPr>
            <w:r>
              <w:rPr>
                <w:rFonts w:hint="eastAsia"/>
              </w:rPr>
              <w:t>体育用地</w:t>
            </w:r>
          </w:p>
        </w:tc>
        <w:tc>
          <w:tcPr>
            <w:tcW w:w="1134" w:type="dxa"/>
            <w:tcMar>
              <w:top w:w="15" w:type="dxa"/>
              <w:left w:w="36" w:type="dxa"/>
              <w:bottom w:w="0" w:type="dxa"/>
              <w:right w:w="36" w:type="dxa"/>
            </w:tcMar>
            <w:vAlign w:val="center"/>
          </w:tcPr>
          <w:p w14:paraId="59B3B80E">
            <w:pPr>
              <w:pStyle w:val="48"/>
            </w:pPr>
            <w:r>
              <w:rPr>
                <w:rFonts w:hint="eastAsia"/>
              </w:rPr>
              <w:t>A4</w:t>
            </w:r>
          </w:p>
        </w:tc>
        <w:tc>
          <w:tcPr>
            <w:tcW w:w="992" w:type="dxa"/>
            <w:tcMar>
              <w:top w:w="15" w:type="dxa"/>
              <w:left w:w="36" w:type="dxa"/>
              <w:bottom w:w="0" w:type="dxa"/>
              <w:right w:w="36" w:type="dxa"/>
            </w:tcMar>
            <w:vAlign w:val="center"/>
          </w:tcPr>
          <w:p w14:paraId="2087BBEE">
            <w:pPr>
              <w:pStyle w:val="48"/>
            </w:pPr>
            <w:r>
              <w:rPr>
                <w:rFonts w:hint="eastAsia"/>
              </w:rPr>
              <w:t>▲</w:t>
            </w:r>
          </w:p>
        </w:tc>
        <w:tc>
          <w:tcPr>
            <w:tcW w:w="992" w:type="dxa"/>
            <w:tcMar>
              <w:top w:w="15" w:type="dxa"/>
              <w:left w:w="36" w:type="dxa"/>
              <w:bottom w:w="0" w:type="dxa"/>
              <w:right w:w="36" w:type="dxa"/>
            </w:tcMar>
            <w:vAlign w:val="center"/>
          </w:tcPr>
          <w:p w14:paraId="24230E03">
            <w:pPr>
              <w:pStyle w:val="48"/>
            </w:pPr>
            <w:r>
              <w:rPr>
                <w:rFonts w:hint="eastAsia"/>
              </w:rPr>
              <w:t>▲</w:t>
            </w:r>
          </w:p>
        </w:tc>
        <w:tc>
          <w:tcPr>
            <w:tcW w:w="992" w:type="dxa"/>
            <w:tcMar>
              <w:top w:w="15" w:type="dxa"/>
              <w:left w:w="36" w:type="dxa"/>
              <w:bottom w:w="0" w:type="dxa"/>
              <w:right w:w="36" w:type="dxa"/>
            </w:tcMar>
            <w:vAlign w:val="center"/>
          </w:tcPr>
          <w:p w14:paraId="4B9FAEC0">
            <w:pPr>
              <w:pStyle w:val="48"/>
            </w:pPr>
            <w:r>
              <w:rPr>
                <w:rFonts w:hint="eastAsia"/>
              </w:rPr>
              <w:t>▲</w:t>
            </w:r>
          </w:p>
        </w:tc>
        <w:tc>
          <w:tcPr>
            <w:tcW w:w="930" w:type="dxa"/>
            <w:tcMar>
              <w:top w:w="15" w:type="dxa"/>
              <w:left w:w="36" w:type="dxa"/>
              <w:bottom w:w="0" w:type="dxa"/>
              <w:right w:w="36" w:type="dxa"/>
            </w:tcMar>
            <w:vAlign w:val="center"/>
          </w:tcPr>
          <w:p w14:paraId="73FA3254">
            <w:pPr>
              <w:pStyle w:val="48"/>
            </w:pPr>
            <w:r>
              <w:rPr>
                <w:rFonts w:hint="eastAsia"/>
              </w:rPr>
              <w:t>——</w:t>
            </w:r>
          </w:p>
        </w:tc>
        <w:tc>
          <w:tcPr>
            <w:tcW w:w="930" w:type="dxa"/>
            <w:tcMar>
              <w:top w:w="15" w:type="dxa"/>
              <w:left w:w="36" w:type="dxa"/>
              <w:bottom w:w="0" w:type="dxa"/>
              <w:right w:w="36" w:type="dxa"/>
            </w:tcMar>
            <w:vAlign w:val="center"/>
          </w:tcPr>
          <w:p w14:paraId="2A47532F">
            <w:pPr>
              <w:pStyle w:val="48"/>
            </w:pPr>
            <w:r>
              <w:rPr>
                <w:rFonts w:hint="eastAsia"/>
              </w:rPr>
              <w:t>▲</w:t>
            </w:r>
          </w:p>
        </w:tc>
        <w:tc>
          <w:tcPr>
            <w:tcW w:w="993" w:type="dxa"/>
            <w:tcMar>
              <w:top w:w="15" w:type="dxa"/>
              <w:left w:w="36" w:type="dxa"/>
              <w:bottom w:w="0" w:type="dxa"/>
              <w:right w:w="36" w:type="dxa"/>
            </w:tcMar>
            <w:vAlign w:val="center"/>
          </w:tcPr>
          <w:p w14:paraId="0F84E162">
            <w:pPr>
              <w:pStyle w:val="48"/>
            </w:pPr>
            <w:r>
              <w:rPr>
                <w:rFonts w:hint="eastAsia"/>
              </w:rPr>
              <w:t>▲</w:t>
            </w:r>
          </w:p>
        </w:tc>
        <w:tc>
          <w:tcPr>
            <w:tcW w:w="1204" w:type="dxa"/>
            <w:tcMar>
              <w:top w:w="15" w:type="dxa"/>
              <w:left w:w="36" w:type="dxa"/>
              <w:bottom w:w="0" w:type="dxa"/>
              <w:right w:w="36" w:type="dxa"/>
            </w:tcMar>
            <w:vAlign w:val="center"/>
          </w:tcPr>
          <w:p w14:paraId="6073B9A7">
            <w:pPr>
              <w:pStyle w:val="48"/>
            </w:pPr>
            <w:r>
              <w:rPr>
                <w:rFonts w:hint="eastAsia"/>
              </w:rPr>
              <w:t>▲</w:t>
            </w:r>
          </w:p>
        </w:tc>
        <w:tc>
          <w:tcPr>
            <w:tcW w:w="689" w:type="dxa"/>
            <w:tcMar>
              <w:top w:w="15" w:type="dxa"/>
              <w:left w:w="36" w:type="dxa"/>
              <w:bottom w:w="0" w:type="dxa"/>
              <w:right w:w="36" w:type="dxa"/>
            </w:tcMar>
            <w:vAlign w:val="center"/>
          </w:tcPr>
          <w:p w14:paraId="179810C6">
            <w:pPr>
              <w:pStyle w:val="48"/>
            </w:pPr>
            <w:r>
              <w:rPr>
                <w:rFonts w:hint="eastAsia"/>
              </w:rPr>
              <w:t>——</w:t>
            </w:r>
          </w:p>
        </w:tc>
        <w:tc>
          <w:tcPr>
            <w:tcW w:w="867" w:type="dxa"/>
            <w:tcMar>
              <w:top w:w="15" w:type="dxa"/>
              <w:left w:w="36" w:type="dxa"/>
              <w:bottom w:w="0" w:type="dxa"/>
              <w:right w:w="36" w:type="dxa"/>
            </w:tcMar>
            <w:vAlign w:val="center"/>
          </w:tcPr>
          <w:p w14:paraId="418B8D07">
            <w:pPr>
              <w:pStyle w:val="48"/>
            </w:pPr>
            <w:r>
              <w:rPr>
                <w:rFonts w:hint="eastAsia"/>
              </w:rPr>
              <w:t>▲</w:t>
            </w:r>
          </w:p>
        </w:tc>
        <w:tc>
          <w:tcPr>
            <w:tcW w:w="784" w:type="dxa"/>
            <w:tcMar>
              <w:top w:w="15" w:type="dxa"/>
              <w:left w:w="36" w:type="dxa"/>
              <w:bottom w:w="0" w:type="dxa"/>
              <w:right w:w="36" w:type="dxa"/>
            </w:tcMar>
            <w:vAlign w:val="center"/>
          </w:tcPr>
          <w:p w14:paraId="6AC06BC8">
            <w:pPr>
              <w:pStyle w:val="48"/>
            </w:pPr>
            <w:r>
              <w:rPr>
                <w:rFonts w:hint="eastAsia"/>
              </w:rPr>
              <w:t>▲</w:t>
            </w:r>
          </w:p>
        </w:tc>
        <w:tc>
          <w:tcPr>
            <w:tcW w:w="1022" w:type="dxa"/>
            <w:tcMar>
              <w:top w:w="15" w:type="dxa"/>
              <w:left w:w="36" w:type="dxa"/>
              <w:bottom w:w="0" w:type="dxa"/>
              <w:right w:w="36" w:type="dxa"/>
            </w:tcMar>
            <w:vAlign w:val="center"/>
          </w:tcPr>
          <w:p w14:paraId="4785CBA8">
            <w:pPr>
              <w:pStyle w:val="48"/>
            </w:pPr>
            <w:r>
              <w:rPr>
                <w:rFonts w:hint="eastAsia"/>
              </w:rPr>
              <w:t>▲</w:t>
            </w:r>
          </w:p>
        </w:tc>
        <w:tc>
          <w:tcPr>
            <w:tcW w:w="784" w:type="dxa"/>
            <w:tcMar>
              <w:top w:w="15" w:type="dxa"/>
              <w:left w:w="36" w:type="dxa"/>
              <w:bottom w:w="0" w:type="dxa"/>
              <w:right w:w="36" w:type="dxa"/>
            </w:tcMar>
            <w:vAlign w:val="center"/>
          </w:tcPr>
          <w:p w14:paraId="5897C900">
            <w:pPr>
              <w:pStyle w:val="48"/>
            </w:pPr>
            <w:r>
              <w:rPr>
                <w:rFonts w:hint="eastAsia"/>
              </w:rPr>
              <w:t>▲</w:t>
            </w:r>
          </w:p>
        </w:tc>
        <w:tc>
          <w:tcPr>
            <w:tcW w:w="1526" w:type="dxa"/>
            <w:tcMar>
              <w:top w:w="15" w:type="dxa"/>
              <w:left w:w="36" w:type="dxa"/>
              <w:bottom w:w="0" w:type="dxa"/>
              <w:right w:w="36" w:type="dxa"/>
            </w:tcMar>
            <w:vAlign w:val="center"/>
          </w:tcPr>
          <w:p w14:paraId="54D00C08">
            <w:pPr>
              <w:pStyle w:val="48"/>
            </w:pPr>
            <w:r>
              <w:rPr>
                <w:rFonts w:hint="eastAsia"/>
              </w:rPr>
              <w:t>×</w:t>
            </w:r>
          </w:p>
        </w:tc>
        <w:tc>
          <w:tcPr>
            <w:tcW w:w="1217" w:type="dxa"/>
            <w:vAlign w:val="center"/>
          </w:tcPr>
          <w:p w14:paraId="736C4A46">
            <w:pPr>
              <w:pStyle w:val="48"/>
            </w:pPr>
            <w:r>
              <w:rPr>
                <w:rFonts w:hint="eastAsia"/>
              </w:rPr>
              <w:t>×</w:t>
            </w:r>
          </w:p>
        </w:tc>
        <w:tc>
          <w:tcPr>
            <w:tcW w:w="756" w:type="dxa"/>
            <w:vAlign w:val="center"/>
          </w:tcPr>
          <w:p w14:paraId="37B1A6AF">
            <w:pPr>
              <w:pStyle w:val="48"/>
            </w:pPr>
            <w:r>
              <w:rPr>
                <w:rFonts w:hint="eastAsia"/>
              </w:rPr>
              <w:t>×</w:t>
            </w:r>
          </w:p>
        </w:tc>
        <w:tc>
          <w:tcPr>
            <w:tcW w:w="700" w:type="dxa"/>
            <w:vAlign w:val="center"/>
          </w:tcPr>
          <w:p w14:paraId="19F53BDA">
            <w:pPr>
              <w:pStyle w:val="48"/>
            </w:pPr>
            <w:r>
              <w:rPr>
                <w:rFonts w:hint="eastAsia"/>
              </w:rPr>
              <w:t>×</w:t>
            </w:r>
          </w:p>
        </w:tc>
        <w:tc>
          <w:tcPr>
            <w:tcW w:w="658" w:type="dxa"/>
            <w:vAlign w:val="center"/>
          </w:tcPr>
          <w:p w14:paraId="0C785D94">
            <w:pPr>
              <w:pStyle w:val="48"/>
            </w:pPr>
            <w:r>
              <w:rPr>
                <w:rFonts w:hint="eastAsia"/>
              </w:rPr>
              <w:t>×</w:t>
            </w:r>
          </w:p>
        </w:tc>
      </w:tr>
      <w:tr w14:paraId="5EFFF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vAlign w:val="center"/>
          </w:tcPr>
          <w:p w14:paraId="6B428B5A">
            <w:pPr>
              <w:pStyle w:val="48"/>
            </w:pPr>
          </w:p>
        </w:tc>
        <w:tc>
          <w:tcPr>
            <w:tcW w:w="1577" w:type="dxa"/>
            <w:tcMar>
              <w:top w:w="15" w:type="dxa"/>
              <w:left w:w="36" w:type="dxa"/>
              <w:bottom w:w="0" w:type="dxa"/>
              <w:right w:w="36" w:type="dxa"/>
            </w:tcMar>
            <w:vAlign w:val="center"/>
          </w:tcPr>
          <w:p w14:paraId="4B5ED2B2">
            <w:pPr>
              <w:pStyle w:val="48"/>
            </w:pPr>
            <w:r>
              <w:rPr>
                <w:rFonts w:hint="eastAsia"/>
              </w:rPr>
              <w:t>医疗卫生用地</w:t>
            </w:r>
          </w:p>
        </w:tc>
        <w:tc>
          <w:tcPr>
            <w:tcW w:w="1134" w:type="dxa"/>
            <w:tcMar>
              <w:top w:w="15" w:type="dxa"/>
              <w:left w:w="36" w:type="dxa"/>
              <w:bottom w:w="0" w:type="dxa"/>
              <w:right w:w="36" w:type="dxa"/>
            </w:tcMar>
            <w:vAlign w:val="center"/>
          </w:tcPr>
          <w:p w14:paraId="2C552799">
            <w:pPr>
              <w:pStyle w:val="48"/>
            </w:pPr>
            <w:r>
              <w:rPr>
                <w:rFonts w:hint="eastAsia"/>
              </w:rPr>
              <w:t>A5</w:t>
            </w:r>
          </w:p>
        </w:tc>
        <w:tc>
          <w:tcPr>
            <w:tcW w:w="992" w:type="dxa"/>
            <w:tcMar>
              <w:top w:w="15" w:type="dxa"/>
              <w:left w:w="36" w:type="dxa"/>
              <w:bottom w:w="0" w:type="dxa"/>
              <w:right w:w="36" w:type="dxa"/>
            </w:tcMar>
            <w:vAlign w:val="center"/>
          </w:tcPr>
          <w:p w14:paraId="50B56665">
            <w:pPr>
              <w:pStyle w:val="48"/>
            </w:pPr>
            <w:r>
              <w:rPr>
                <w:rFonts w:hint="eastAsia"/>
              </w:rPr>
              <w:t>▲</w:t>
            </w:r>
          </w:p>
        </w:tc>
        <w:tc>
          <w:tcPr>
            <w:tcW w:w="992" w:type="dxa"/>
            <w:tcMar>
              <w:top w:w="15" w:type="dxa"/>
              <w:left w:w="36" w:type="dxa"/>
              <w:bottom w:w="0" w:type="dxa"/>
              <w:right w:w="36" w:type="dxa"/>
            </w:tcMar>
            <w:vAlign w:val="center"/>
          </w:tcPr>
          <w:p w14:paraId="59CCCF95">
            <w:pPr>
              <w:pStyle w:val="48"/>
            </w:pPr>
            <w:r>
              <w:rPr>
                <w:rFonts w:hint="eastAsia"/>
              </w:rPr>
              <w:t>▲</w:t>
            </w:r>
          </w:p>
        </w:tc>
        <w:tc>
          <w:tcPr>
            <w:tcW w:w="992" w:type="dxa"/>
            <w:tcMar>
              <w:top w:w="15" w:type="dxa"/>
              <w:left w:w="36" w:type="dxa"/>
              <w:bottom w:w="0" w:type="dxa"/>
              <w:right w:w="36" w:type="dxa"/>
            </w:tcMar>
            <w:vAlign w:val="center"/>
          </w:tcPr>
          <w:p w14:paraId="5E70227A">
            <w:pPr>
              <w:pStyle w:val="48"/>
            </w:pPr>
            <w:r>
              <w:rPr>
                <w:rFonts w:hint="eastAsia"/>
              </w:rPr>
              <w:t>▲</w:t>
            </w:r>
          </w:p>
        </w:tc>
        <w:tc>
          <w:tcPr>
            <w:tcW w:w="930" w:type="dxa"/>
            <w:tcMar>
              <w:top w:w="15" w:type="dxa"/>
              <w:left w:w="36" w:type="dxa"/>
              <w:bottom w:w="0" w:type="dxa"/>
              <w:right w:w="36" w:type="dxa"/>
            </w:tcMar>
            <w:vAlign w:val="center"/>
          </w:tcPr>
          <w:p w14:paraId="78EEC746">
            <w:pPr>
              <w:pStyle w:val="48"/>
            </w:pPr>
            <w:r>
              <w:rPr>
                <w:rFonts w:hint="eastAsia"/>
              </w:rPr>
              <w:t>——</w:t>
            </w:r>
          </w:p>
        </w:tc>
        <w:tc>
          <w:tcPr>
            <w:tcW w:w="930" w:type="dxa"/>
            <w:tcMar>
              <w:top w:w="15" w:type="dxa"/>
              <w:left w:w="36" w:type="dxa"/>
              <w:bottom w:w="0" w:type="dxa"/>
              <w:right w:w="36" w:type="dxa"/>
            </w:tcMar>
            <w:vAlign w:val="center"/>
          </w:tcPr>
          <w:p w14:paraId="08A92D5D">
            <w:pPr>
              <w:pStyle w:val="48"/>
            </w:pPr>
            <w:r>
              <w:rPr>
                <w:rFonts w:hint="eastAsia"/>
              </w:rPr>
              <w:t>▲</w:t>
            </w:r>
          </w:p>
        </w:tc>
        <w:tc>
          <w:tcPr>
            <w:tcW w:w="993" w:type="dxa"/>
            <w:tcMar>
              <w:top w:w="15" w:type="dxa"/>
              <w:left w:w="36" w:type="dxa"/>
              <w:bottom w:w="0" w:type="dxa"/>
              <w:right w:w="36" w:type="dxa"/>
            </w:tcMar>
            <w:vAlign w:val="center"/>
          </w:tcPr>
          <w:p w14:paraId="7AE2347E">
            <w:pPr>
              <w:pStyle w:val="48"/>
            </w:pPr>
            <w:r>
              <w:rPr>
                <w:rFonts w:hint="eastAsia"/>
              </w:rPr>
              <w:t>▲</w:t>
            </w:r>
          </w:p>
        </w:tc>
        <w:tc>
          <w:tcPr>
            <w:tcW w:w="1204" w:type="dxa"/>
            <w:tcMar>
              <w:top w:w="15" w:type="dxa"/>
              <w:left w:w="36" w:type="dxa"/>
              <w:bottom w:w="0" w:type="dxa"/>
              <w:right w:w="36" w:type="dxa"/>
            </w:tcMar>
            <w:vAlign w:val="center"/>
          </w:tcPr>
          <w:p w14:paraId="3FBAA7F4">
            <w:pPr>
              <w:pStyle w:val="48"/>
            </w:pPr>
            <w:r>
              <w:rPr>
                <w:rFonts w:hint="eastAsia"/>
              </w:rPr>
              <w:t>▲</w:t>
            </w:r>
          </w:p>
        </w:tc>
        <w:tc>
          <w:tcPr>
            <w:tcW w:w="689" w:type="dxa"/>
            <w:tcMar>
              <w:top w:w="15" w:type="dxa"/>
              <w:left w:w="36" w:type="dxa"/>
              <w:bottom w:w="0" w:type="dxa"/>
              <w:right w:w="36" w:type="dxa"/>
            </w:tcMar>
            <w:vAlign w:val="center"/>
          </w:tcPr>
          <w:p w14:paraId="4C7A610A">
            <w:pPr>
              <w:pStyle w:val="48"/>
            </w:pPr>
            <w:r>
              <w:rPr>
                <w:rFonts w:hint="eastAsia"/>
              </w:rPr>
              <w:t>▲</w:t>
            </w:r>
          </w:p>
        </w:tc>
        <w:tc>
          <w:tcPr>
            <w:tcW w:w="867" w:type="dxa"/>
            <w:tcMar>
              <w:top w:w="15" w:type="dxa"/>
              <w:left w:w="36" w:type="dxa"/>
              <w:bottom w:w="0" w:type="dxa"/>
              <w:right w:w="36" w:type="dxa"/>
            </w:tcMar>
            <w:vAlign w:val="center"/>
          </w:tcPr>
          <w:p w14:paraId="0145E446">
            <w:pPr>
              <w:pStyle w:val="48"/>
            </w:pPr>
            <w:r>
              <w:rPr>
                <w:rFonts w:hint="eastAsia"/>
              </w:rPr>
              <w:t>——</w:t>
            </w:r>
          </w:p>
        </w:tc>
        <w:tc>
          <w:tcPr>
            <w:tcW w:w="784" w:type="dxa"/>
            <w:tcMar>
              <w:top w:w="15" w:type="dxa"/>
              <w:left w:w="36" w:type="dxa"/>
              <w:bottom w:w="0" w:type="dxa"/>
              <w:right w:w="36" w:type="dxa"/>
            </w:tcMar>
            <w:vAlign w:val="center"/>
          </w:tcPr>
          <w:p w14:paraId="3DC928C6">
            <w:pPr>
              <w:pStyle w:val="48"/>
            </w:pPr>
            <w:r>
              <w:rPr>
                <w:rFonts w:hint="eastAsia"/>
              </w:rPr>
              <w:t>▲</w:t>
            </w:r>
          </w:p>
        </w:tc>
        <w:tc>
          <w:tcPr>
            <w:tcW w:w="1022" w:type="dxa"/>
            <w:tcMar>
              <w:top w:w="15" w:type="dxa"/>
              <w:left w:w="36" w:type="dxa"/>
              <w:bottom w:w="0" w:type="dxa"/>
              <w:right w:w="36" w:type="dxa"/>
            </w:tcMar>
            <w:vAlign w:val="center"/>
          </w:tcPr>
          <w:p w14:paraId="1D287CB7">
            <w:pPr>
              <w:pStyle w:val="48"/>
            </w:pPr>
            <w:r>
              <w:rPr>
                <w:rFonts w:hint="eastAsia"/>
              </w:rPr>
              <w:t>▲</w:t>
            </w:r>
          </w:p>
        </w:tc>
        <w:tc>
          <w:tcPr>
            <w:tcW w:w="784" w:type="dxa"/>
            <w:tcMar>
              <w:top w:w="15" w:type="dxa"/>
              <w:left w:w="36" w:type="dxa"/>
              <w:bottom w:w="0" w:type="dxa"/>
              <w:right w:w="36" w:type="dxa"/>
            </w:tcMar>
            <w:vAlign w:val="center"/>
          </w:tcPr>
          <w:p w14:paraId="29B673B1">
            <w:pPr>
              <w:pStyle w:val="48"/>
            </w:pPr>
            <w:r>
              <w:rPr>
                <w:rFonts w:hint="eastAsia"/>
              </w:rPr>
              <w:t>▲</w:t>
            </w:r>
          </w:p>
        </w:tc>
        <w:tc>
          <w:tcPr>
            <w:tcW w:w="1526" w:type="dxa"/>
            <w:tcMar>
              <w:top w:w="15" w:type="dxa"/>
              <w:left w:w="36" w:type="dxa"/>
              <w:bottom w:w="0" w:type="dxa"/>
              <w:right w:w="36" w:type="dxa"/>
            </w:tcMar>
            <w:vAlign w:val="center"/>
          </w:tcPr>
          <w:p w14:paraId="490E5A05">
            <w:pPr>
              <w:pStyle w:val="48"/>
            </w:pPr>
            <w:r>
              <w:rPr>
                <w:rFonts w:hint="eastAsia"/>
              </w:rPr>
              <w:t>×</w:t>
            </w:r>
          </w:p>
        </w:tc>
        <w:tc>
          <w:tcPr>
            <w:tcW w:w="1217" w:type="dxa"/>
            <w:vAlign w:val="center"/>
          </w:tcPr>
          <w:p w14:paraId="23BFC494">
            <w:pPr>
              <w:pStyle w:val="48"/>
            </w:pPr>
            <w:r>
              <w:rPr>
                <w:rFonts w:hint="eastAsia"/>
              </w:rPr>
              <w:t>×</w:t>
            </w:r>
          </w:p>
        </w:tc>
        <w:tc>
          <w:tcPr>
            <w:tcW w:w="756" w:type="dxa"/>
            <w:vAlign w:val="center"/>
          </w:tcPr>
          <w:p w14:paraId="04F5F0D8">
            <w:pPr>
              <w:pStyle w:val="48"/>
            </w:pPr>
            <w:r>
              <w:rPr>
                <w:rFonts w:hint="eastAsia"/>
              </w:rPr>
              <w:t>×</w:t>
            </w:r>
          </w:p>
        </w:tc>
        <w:tc>
          <w:tcPr>
            <w:tcW w:w="700" w:type="dxa"/>
            <w:vAlign w:val="center"/>
          </w:tcPr>
          <w:p w14:paraId="4CC3E976">
            <w:pPr>
              <w:pStyle w:val="48"/>
            </w:pPr>
            <w:r>
              <w:rPr>
                <w:rFonts w:hint="eastAsia"/>
              </w:rPr>
              <w:t>×</w:t>
            </w:r>
          </w:p>
        </w:tc>
        <w:tc>
          <w:tcPr>
            <w:tcW w:w="658" w:type="dxa"/>
            <w:vAlign w:val="center"/>
          </w:tcPr>
          <w:p w14:paraId="4C88B828">
            <w:pPr>
              <w:pStyle w:val="48"/>
            </w:pPr>
            <w:r>
              <w:rPr>
                <w:rFonts w:hint="eastAsia"/>
              </w:rPr>
              <w:t>×</w:t>
            </w:r>
          </w:p>
        </w:tc>
      </w:tr>
      <w:tr w14:paraId="79A44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vAlign w:val="center"/>
          </w:tcPr>
          <w:p w14:paraId="37A338E9">
            <w:pPr>
              <w:pStyle w:val="48"/>
            </w:pPr>
          </w:p>
        </w:tc>
        <w:tc>
          <w:tcPr>
            <w:tcW w:w="1577" w:type="dxa"/>
            <w:tcMar>
              <w:top w:w="15" w:type="dxa"/>
              <w:left w:w="36" w:type="dxa"/>
              <w:bottom w:w="0" w:type="dxa"/>
              <w:right w:w="36" w:type="dxa"/>
            </w:tcMar>
            <w:vAlign w:val="center"/>
          </w:tcPr>
          <w:p w14:paraId="4AD65757">
            <w:pPr>
              <w:pStyle w:val="48"/>
            </w:pPr>
            <w:r>
              <w:rPr>
                <w:rFonts w:hint="eastAsia"/>
              </w:rPr>
              <w:t>社会福利用地</w:t>
            </w:r>
          </w:p>
        </w:tc>
        <w:tc>
          <w:tcPr>
            <w:tcW w:w="1134" w:type="dxa"/>
            <w:tcMar>
              <w:top w:w="15" w:type="dxa"/>
              <w:left w:w="36" w:type="dxa"/>
              <w:bottom w:w="0" w:type="dxa"/>
              <w:right w:w="36" w:type="dxa"/>
            </w:tcMar>
            <w:vAlign w:val="center"/>
          </w:tcPr>
          <w:p w14:paraId="2BF00236">
            <w:pPr>
              <w:pStyle w:val="48"/>
            </w:pPr>
            <w:r>
              <w:rPr>
                <w:rFonts w:hint="eastAsia"/>
              </w:rPr>
              <w:t>A6</w:t>
            </w:r>
          </w:p>
        </w:tc>
        <w:tc>
          <w:tcPr>
            <w:tcW w:w="992" w:type="dxa"/>
            <w:tcMar>
              <w:top w:w="15" w:type="dxa"/>
              <w:left w:w="36" w:type="dxa"/>
              <w:bottom w:w="0" w:type="dxa"/>
              <w:right w:w="36" w:type="dxa"/>
            </w:tcMar>
            <w:vAlign w:val="center"/>
          </w:tcPr>
          <w:p w14:paraId="0D4DC74F">
            <w:pPr>
              <w:pStyle w:val="48"/>
            </w:pPr>
            <w:r>
              <w:rPr>
                <w:rFonts w:hint="eastAsia"/>
              </w:rPr>
              <w:t>▲</w:t>
            </w:r>
          </w:p>
        </w:tc>
        <w:tc>
          <w:tcPr>
            <w:tcW w:w="992" w:type="dxa"/>
            <w:tcMar>
              <w:top w:w="15" w:type="dxa"/>
              <w:left w:w="36" w:type="dxa"/>
              <w:bottom w:w="0" w:type="dxa"/>
              <w:right w:w="36" w:type="dxa"/>
            </w:tcMar>
            <w:vAlign w:val="center"/>
          </w:tcPr>
          <w:p w14:paraId="2AD8CDEC">
            <w:pPr>
              <w:pStyle w:val="48"/>
            </w:pPr>
            <w:r>
              <w:rPr>
                <w:rFonts w:hint="eastAsia"/>
              </w:rPr>
              <w:t>▲</w:t>
            </w:r>
          </w:p>
        </w:tc>
        <w:tc>
          <w:tcPr>
            <w:tcW w:w="992" w:type="dxa"/>
            <w:tcMar>
              <w:top w:w="15" w:type="dxa"/>
              <w:left w:w="36" w:type="dxa"/>
              <w:bottom w:w="0" w:type="dxa"/>
              <w:right w:w="36" w:type="dxa"/>
            </w:tcMar>
            <w:vAlign w:val="center"/>
          </w:tcPr>
          <w:p w14:paraId="2345D351">
            <w:pPr>
              <w:pStyle w:val="48"/>
            </w:pPr>
            <w:r>
              <w:rPr>
                <w:rFonts w:hint="eastAsia"/>
              </w:rPr>
              <w:t>▲</w:t>
            </w:r>
          </w:p>
        </w:tc>
        <w:tc>
          <w:tcPr>
            <w:tcW w:w="930" w:type="dxa"/>
            <w:tcMar>
              <w:top w:w="15" w:type="dxa"/>
              <w:left w:w="36" w:type="dxa"/>
              <w:bottom w:w="0" w:type="dxa"/>
              <w:right w:w="36" w:type="dxa"/>
            </w:tcMar>
            <w:vAlign w:val="center"/>
          </w:tcPr>
          <w:p w14:paraId="31CCBE53">
            <w:pPr>
              <w:pStyle w:val="48"/>
            </w:pPr>
            <w:r>
              <w:rPr>
                <w:rFonts w:hint="eastAsia"/>
              </w:rPr>
              <w:t>▲</w:t>
            </w:r>
          </w:p>
        </w:tc>
        <w:tc>
          <w:tcPr>
            <w:tcW w:w="930" w:type="dxa"/>
            <w:tcMar>
              <w:top w:w="15" w:type="dxa"/>
              <w:left w:w="36" w:type="dxa"/>
              <w:bottom w:w="0" w:type="dxa"/>
              <w:right w:w="36" w:type="dxa"/>
            </w:tcMar>
            <w:vAlign w:val="center"/>
          </w:tcPr>
          <w:p w14:paraId="6893D1B2">
            <w:pPr>
              <w:pStyle w:val="48"/>
            </w:pPr>
            <w:r>
              <w:rPr>
                <w:rFonts w:hint="eastAsia"/>
              </w:rPr>
              <w:t>▲</w:t>
            </w:r>
          </w:p>
        </w:tc>
        <w:tc>
          <w:tcPr>
            <w:tcW w:w="993" w:type="dxa"/>
            <w:tcMar>
              <w:top w:w="15" w:type="dxa"/>
              <w:left w:w="36" w:type="dxa"/>
              <w:bottom w:w="0" w:type="dxa"/>
              <w:right w:w="36" w:type="dxa"/>
            </w:tcMar>
            <w:vAlign w:val="center"/>
          </w:tcPr>
          <w:p w14:paraId="67CDCB73">
            <w:pPr>
              <w:pStyle w:val="48"/>
            </w:pPr>
            <w:r>
              <w:rPr>
                <w:rFonts w:hint="eastAsia"/>
              </w:rPr>
              <w:t>▲</w:t>
            </w:r>
          </w:p>
        </w:tc>
        <w:tc>
          <w:tcPr>
            <w:tcW w:w="1204" w:type="dxa"/>
            <w:tcMar>
              <w:top w:w="15" w:type="dxa"/>
              <w:left w:w="36" w:type="dxa"/>
              <w:bottom w:w="0" w:type="dxa"/>
              <w:right w:w="36" w:type="dxa"/>
            </w:tcMar>
            <w:vAlign w:val="center"/>
          </w:tcPr>
          <w:p w14:paraId="52E6E0E9">
            <w:pPr>
              <w:pStyle w:val="48"/>
            </w:pPr>
            <w:r>
              <w:rPr>
                <w:rFonts w:hint="eastAsia"/>
              </w:rPr>
              <w:t>▲</w:t>
            </w:r>
          </w:p>
        </w:tc>
        <w:tc>
          <w:tcPr>
            <w:tcW w:w="689" w:type="dxa"/>
            <w:tcMar>
              <w:top w:w="15" w:type="dxa"/>
              <w:left w:w="36" w:type="dxa"/>
              <w:bottom w:w="0" w:type="dxa"/>
              <w:right w:w="36" w:type="dxa"/>
            </w:tcMar>
            <w:vAlign w:val="center"/>
          </w:tcPr>
          <w:p w14:paraId="2AF4454A">
            <w:pPr>
              <w:pStyle w:val="48"/>
            </w:pPr>
            <w:r>
              <w:rPr>
                <w:rFonts w:hint="eastAsia"/>
              </w:rPr>
              <w:t>▲</w:t>
            </w:r>
          </w:p>
        </w:tc>
        <w:tc>
          <w:tcPr>
            <w:tcW w:w="867" w:type="dxa"/>
            <w:tcMar>
              <w:top w:w="15" w:type="dxa"/>
              <w:left w:w="36" w:type="dxa"/>
              <w:bottom w:w="0" w:type="dxa"/>
              <w:right w:w="36" w:type="dxa"/>
            </w:tcMar>
            <w:vAlign w:val="center"/>
          </w:tcPr>
          <w:p w14:paraId="6FA4125D">
            <w:pPr>
              <w:pStyle w:val="48"/>
            </w:pPr>
            <w:r>
              <w:rPr>
                <w:rFonts w:hint="eastAsia"/>
              </w:rPr>
              <w:t>▲</w:t>
            </w:r>
          </w:p>
        </w:tc>
        <w:tc>
          <w:tcPr>
            <w:tcW w:w="784" w:type="dxa"/>
            <w:tcMar>
              <w:top w:w="15" w:type="dxa"/>
              <w:left w:w="36" w:type="dxa"/>
              <w:bottom w:w="0" w:type="dxa"/>
              <w:right w:w="36" w:type="dxa"/>
            </w:tcMar>
            <w:vAlign w:val="center"/>
          </w:tcPr>
          <w:p w14:paraId="158DA363">
            <w:pPr>
              <w:pStyle w:val="48"/>
            </w:pPr>
            <w:r>
              <w:rPr>
                <w:rFonts w:hint="eastAsia"/>
              </w:rPr>
              <w:t>▲</w:t>
            </w:r>
          </w:p>
        </w:tc>
        <w:tc>
          <w:tcPr>
            <w:tcW w:w="1022" w:type="dxa"/>
            <w:tcMar>
              <w:top w:w="15" w:type="dxa"/>
              <w:left w:w="36" w:type="dxa"/>
              <w:bottom w:w="0" w:type="dxa"/>
              <w:right w:w="36" w:type="dxa"/>
            </w:tcMar>
            <w:vAlign w:val="center"/>
          </w:tcPr>
          <w:p w14:paraId="5F123524">
            <w:pPr>
              <w:pStyle w:val="48"/>
            </w:pPr>
            <w:r>
              <w:rPr>
                <w:rFonts w:hint="eastAsia"/>
              </w:rPr>
              <w:t>▲</w:t>
            </w:r>
          </w:p>
        </w:tc>
        <w:tc>
          <w:tcPr>
            <w:tcW w:w="784" w:type="dxa"/>
            <w:tcMar>
              <w:top w:w="15" w:type="dxa"/>
              <w:left w:w="36" w:type="dxa"/>
              <w:bottom w:w="0" w:type="dxa"/>
              <w:right w:w="36" w:type="dxa"/>
            </w:tcMar>
            <w:vAlign w:val="center"/>
          </w:tcPr>
          <w:p w14:paraId="6AE36779">
            <w:pPr>
              <w:pStyle w:val="48"/>
            </w:pPr>
            <w:r>
              <w:rPr>
                <w:rFonts w:hint="eastAsia"/>
              </w:rPr>
              <w:t>▲</w:t>
            </w:r>
          </w:p>
        </w:tc>
        <w:tc>
          <w:tcPr>
            <w:tcW w:w="1526" w:type="dxa"/>
            <w:tcMar>
              <w:top w:w="15" w:type="dxa"/>
              <w:left w:w="36" w:type="dxa"/>
              <w:bottom w:w="0" w:type="dxa"/>
              <w:right w:w="36" w:type="dxa"/>
            </w:tcMar>
            <w:vAlign w:val="center"/>
          </w:tcPr>
          <w:p w14:paraId="360B4E2E">
            <w:pPr>
              <w:pStyle w:val="48"/>
            </w:pPr>
            <w:r>
              <w:rPr>
                <w:rFonts w:hint="eastAsia"/>
              </w:rPr>
              <w:t>×</w:t>
            </w:r>
          </w:p>
        </w:tc>
        <w:tc>
          <w:tcPr>
            <w:tcW w:w="1217" w:type="dxa"/>
            <w:vAlign w:val="center"/>
          </w:tcPr>
          <w:p w14:paraId="45CFAA9E">
            <w:pPr>
              <w:pStyle w:val="48"/>
            </w:pPr>
            <w:r>
              <w:rPr>
                <w:rFonts w:hint="eastAsia"/>
              </w:rPr>
              <w:t>×</w:t>
            </w:r>
          </w:p>
        </w:tc>
        <w:tc>
          <w:tcPr>
            <w:tcW w:w="756" w:type="dxa"/>
            <w:vAlign w:val="center"/>
          </w:tcPr>
          <w:p w14:paraId="6598C412">
            <w:pPr>
              <w:pStyle w:val="48"/>
            </w:pPr>
            <w:r>
              <w:rPr>
                <w:rFonts w:hint="eastAsia"/>
              </w:rPr>
              <w:t>×</w:t>
            </w:r>
          </w:p>
        </w:tc>
        <w:tc>
          <w:tcPr>
            <w:tcW w:w="700" w:type="dxa"/>
            <w:vAlign w:val="center"/>
          </w:tcPr>
          <w:p w14:paraId="20F2DB0E">
            <w:pPr>
              <w:pStyle w:val="48"/>
            </w:pPr>
            <w:r>
              <w:rPr>
                <w:rFonts w:hint="eastAsia"/>
              </w:rPr>
              <w:t>×</w:t>
            </w:r>
          </w:p>
        </w:tc>
        <w:tc>
          <w:tcPr>
            <w:tcW w:w="658" w:type="dxa"/>
            <w:vAlign w:val="center"/>
          </w:tcPr>
          <w:p w14:paraId="5733C147">
            <w:pPr>
              <w:pStyle w:val="48"/>
            </w:pPr>
            <w:r>
              <w:rPr>
                <w:rFonts w:hint="eastAsia"/>
              </w:rPr>
              <w:t>×</w:t>
            </w:r>
          </w:p>
        </w:tc>
      </w:tr>
      <w:tr w14:paraId="6A962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Align w:val="center"/>
          </w:tcPr>
          <w:p w14:paraId="0249A623">
            <w:pPr>
              <w:pStyle w:val="48"/>
            </w:pPr>
            <w:r>
              <w:t>道路交通设施用地</w:t>
            </w:r>
          </w:p>
        </w:tc>
        <w:tc>
          <w:tcPr>
            <w:tcW w:w="1577" w:type="dxa"/>
            <w:tcMar>
              <w:top w:w="15" w:type="dxa"/>
              <w:left w:w="36" w:type="dxa"/>
              <w:bottom w:w="0" w:type="dxa"/>
              <w:right w:w="36" w:type="dxa"/>
            </w:tcMar>
            <w:vAlign w:val="center"/>
          </w:tcPr>
          <w:p w14:paraId="7A43DD17">
            <w:pPr>
              <w:pStyle w:val="48"/>
            </w:pPr>
            <w:r>
              <w:rPr>
                <w:rFonts w:hint="eastAsia"/>
              </w:rPr>
              <w:t>交通</w:t>
            </w:r>
            <w:r>
              <w:t>场站用地</w:t>
            </w:r>
          </w:p>
        </w:tc>
        <w:tc>
          <w:tcPr>
            <w:tcW w:w="1134" w:type="dxa"/>
            <w:tcMar>
              <w:top w:w="15" w:type="dxa"/>
              <w:left w:w="36" w:type="dxa"/>
              <w:bottom w:w="0" w:type="dxa"/>
              <w:right w:w="36" w:type="dxa"/>
            </w:tcMar>
            <w:vAlign w:val="center"/>
          </w:tcPr>
          <w:p w14:paraId="230A4FD7">
            <w:pPr>
              <w:pStyle w:val="48"/>
            </w:pPr>
            <w:r>
              <w:rPr>
                <w:rFonts w:hint="eastAsia"/>
              </w:rPr>
              <w:t>S4</w:t>
            </w:r>
          </w:p>
        </w:tc>
        <w:tc>
          <w:tcPr>
            <w:tcW w:w="992" w:type="dxa"/>
            <w:tcMar>
              <w:top w:w="15" w:type="dxa"/>
              <w:left w:w="36" w:type="dxa"/>
              <w:bottom w:w="0" w:type="dxa"/>
              <w:right w:w="36" w:type="dxa"/>
            </w:tcMar>
            <w:vAlign w:val="center"/>
          </w:tcPr>
          <w:p w14:paraId="23D5B021">
            <w:pPr>
              <w:pStyle w:val="48"/>
            </w:pPr>
            <w:r>
              <w:rPr>
                <w:rFonts w:hint="eastAsia"/>
              </w:rPr>
              <w:t>●</w:t>
            </w:r>
          </w:p>
        </w:tc>
        <w:tc>
          <w:tcPr>
            <w:tcW w:w="992" w:type="dxa"/>
            <w:tcMar>
              <w:top w:w="15" w:type="dxa"/>
              <w:left w:w="36" w:type="dxa"/>
              <w:bottom w:w="0" w:type="dxa"/>
              <w:right w:w="36" w:type="dxa"/>
            </w:tcMar>
            <w:vAlign w:val="center"/>
          </w:tcPr>
          <w:p w14:paraId="311FCAB1">
            <w:pPr>
              <w:pStyle w:val="48"/>
            </w:pPr>
            <w:r>
              <w:rPr>
                <w:rFonts w:hint="eastAsia"/>
              </w:rPr>
              <w:t>●</w:t>
            </w:r>
          </w:p>
        </w:tc>
        <w:tc>
          <w:tcPr>
            <w:tcW w:w="992" w:type="dxa"/>
            <w:tcMar>
              <w:top w:w="15" w:type="dxa"/>
              <w:left w:w="36" w:type="dxa"/>
              <w:bottom w:w="0" w:type="dxa"/>
              <w:right w:w="36" w:type="dxa"/>
            </w:tcMar>
            <w:vAlign w:val="center"/>
          </w:tcPr>
          <w:p w14:paraId="4790A6F6">
            <w:pPr>
              <w:pStyle w:val="48"/>
            </w:pPr>
            <w:r>
              <w:rPr>
                <w:rFonts w:hint="eastAsia"/>
              </w:rPr>
              <w:t>●</w:t>
            </w:r>
          </w:p>
        </w:tc>
        <w:tc>
          <w:tcPr>
            <w:tcW w:w="930" w:type="dxa"/>
            <w:tcMar>
              <w:top w:w="15" w:type="dxa"/>
              <w:left w:w="36" w:type="dxa"/>
              <w:bottom w:w="0" w:type="dxa"/>
              <w:right w:w="36" w:type="dxa"/>
            </w:tcMar>
            <w:vAlign w:val="center"/>
          </w:tcPr>
          <w:p w14:paraId="53103DE5">
            <w:pPr>
              <w:pStyle w:val="48"/>
            </w:pPr>
            <w:r>
              <w:rPr>
                <w:rFonts w:hint="eastAsia"/>
              </w:rPr>
              <w:t>×</w:t>
            </w:r>
          </w:p>
        </w:tc>
        <w:tc>
          <w:tcPr>
            <w:tcW w:w="930" w:type="dxa"/>
            <w:tcMar>
              <w:top w:w="15" w:type="dxa"/>
              <w:left w:w="36" w:type="dxa"/>
              <w:bottom w:w="0" w:type="dxa"/>
              <w:right w:w="36" w:type="dxa"/>
            </w:tcMar>
            <w:vAlign w:val="center"/>
          </w:tcPr>
          <w:p w14:paraId="2DE5A4D2">
            <w:pPr>
              <w:pStyle w:val="48"/>
            </w:pPr>
            <w:r>
              <w:rPr>
                <w:rFonts w:hint="eastAsia"/>
              </w:rPr>
              <w:t>●</w:t>
            </w:r>
          </w:p>
        </w:tc>
        <w:tc>
          <w:tcPr>
            <w:tcW w:w="993" w:type="dxa"/>
            <w:tcMar>
              <w:top w:w="15" w:type="dxa"/>
              <w:left w:w="36" w:type="dxa"/>
              <w:bottom w:w="0" w:type="dxa"/>
              <w:right w:w="36" w:type="dxa"/>
            </w:tcMar>
            <w:vAlign w:val="center"/>
          </w:tcPr>
          <w:p w14:paraId="6F15C874">
            <w:pPr>
              <w:pStyle w:val="48"/>
            </w:pPr>
            <w:r>
              <w:rPr>
                <w:rFonts w:hint="eastAsia"/>
              </w:rPr>
              <w:t>●</w:t>
            </w:r>
          </w:p>
        </w:tc>
        <w:tc>
          <w:tcPr>
            <w:tcW w:w="1204" w:type="dxa"/>
            <w:tcMar>
              <w:top w:w="15" w:type="dxa"/>
              <w:left w:w="36" w:type="dxa"/>
              <w:bottom w:w="0" w:type="dxa"/>
              <w:right w:w="36" w:type="dxa"/>
            </w:tcMar>
            <w:vAlign w:val="center"/>
          </w:tcPr>
          <w:p w14:paraId="077F01B5">
            <w:pPr>
              <w:pStyle w:val="48"/>
            </w:pPr>
            <w:r>
              <w:rPr>
                <w:rFonts w:hint="eastAsia"/>
              </w:rPr>
              <w:t>●</w:t>
            </w:r>
          </w:p>
        </w:tc>
        <w:tc>
          <w:tcPr>
            <w:tcW w:w="689" w:type="dxa"/>
            <w:tcMar>
              <w:top w:w="15" w:type="dxa"/>
              <w:left w:w="36" w:type="dxa"/>
              <w:bottom w:w="0" w:type="dxa"/>
              <w:right w:w="36" w:type="dxa"/>
            </w:tcMar>
            <w:vAlign w:val="center"/>
          </w:tcPr>
          <w:p w14:paraId="2EBB4A3C">
            <w:pPr>
              <w:pStyle w:val="48"/>
            </w:pPr>
            <w:r>
              <w:rPr>
                <w:rFonts w:hint="eastAsia"/>
              </w:rPr>
              <w:t>●</w:t>
            </w:r>
          </w:p>
        </w:tc>
        <w:tc>
          <w:tcPr>
            <w:tcW w:w="867" w:type="dxa"/>
            <w:tcMar>
              <w:top w:w="15" w:type="dxa"/>
              <w:left w:w="36" w:type="dxa"/>
              <w:bottom w:w="0" w:type="dxa"/>
              <w:right w:w="36" w:type="dxa"/>
            </w:tcMar>
            <w:vAlign w:val="center"/>
          </w:tcPr>
          <w:p w14:paraId="3B4E1C2A">
            <w:pPr>
              <w:pStyle w:val="48"/>
            </w:pPr>
            <w:r>
              <w:rPr>
                <w:rFonts w:hint="eastAsia"/>
              </w:rPr>
              <w:t>●</w:t>
            </w:r>
          </w:p>
        </w:tc>
        <w:tc>
          <w:tcPr>
            <w:tcW w:w="784" w:type="dxa"/>
            <w:tcMar>
              <w:top w:w="15" w:type="dxa"/>
              <w:left w:w="36" w:type="dxa"/>
              <w:bottom w:w="0" w:type="dxa"/>
              <w:right w:w="36" w:type="dxa"/>
            </w:tcMar>
            <w:vAlign w:val="center"/>
          </w:tcPr>
          <w:p w14:paraId="513213A2">
            <w:pPr>
              <w:pStyle w:val="48"/>
            </w:pPr>
            <w:r>
              <w:rPr>
                <w:rFonts w:hint="eastAsia"/>
              </w:rPr>
              <w:t>●</w:t>
            </w:r>
          </w:p>
        </w:tc>
        <w:tc>
          <w:tcPr>
            <w:tcW w:w="1022" w:type="dxa"/>
            <w:tcMar>
              <w:top w:w="15" w:type="dxa"/>
              <w:left w:w="36" w:type="dxa"/>
              <w:bottom w:w="0" w:type="dxa"/>
              <w:right w:w="36" w:type="dxa"/>
            </w:tcMar>
            <w:vAlign w:val="center"/>
          </w:tcPr>
          <w:p w14:paraId="5C8119AD">
            <w:pPr>
              <w:pStyle w:val="48"/>
            </w:pPr>
            <w:r>
              <w:rPr>
                <w:rFonts w:hint="eastAsia"/>
              </w:rPr>
              <w:t>●</w:t>
            </w:r>
          </w:p>
        </w:tc>
        <w:tc>
          <w:tcPr>
            <w:tcW w:w="784" w:type="dxa"/>
            <w:tcMar>
              <w:top w:w="15" w:type="dxa"/>
              <w:left w:w="36" w:type="dxa"/>
              <w:bottom w:w="0" w:type="dxa"/>
              <w:right w:w="36" w:type="dxa"/>
            </w:tcMar>
            <w:vAlign w:val="center"/>
          </w:tcPr>
          <w:p w14:paraId="1CDB0FFF">
            <w:pPr>
              <w:pStyle w:val="48"/>
            </w:pPr>
            <w:r>
              <w:rPr>
                <w:rFonts w:hint="eastAsia"/>
              </w:rPr>
              <w:t>●</w:t>
            </w:r>
          </w:p>
        </w:tc>
        <w:tc>
          <w:tcPr>
            <w:tcW w:w="1526" w:type="dxa"/>
            <w:tcMar>
              <w:top w:w="15" w:type="dxa"/>
              <w:left w:w="36" w:type="dxa"/>
              <w:bottom w:w="0" w:type="dxa"/>
              <w:right w:w="36" w:type="dxa"/>
            </w:tcMar>
            <w:vAlign w:val="center"/>
          </w:tcPr>
          <w:p w14:paraId="37E17E48">
            <w:pPr>
              <w:pStyle w:val="48"/>
            </w:pPr>
            <w:r>
              <w:rPr>
                <w:rFonts w:hint="eastAsia"/>
              </w:rPr>
              <w:t>——</w:t>
            </w:r>
          </w:p>
        </w:tc>
        <w:tc>
          <w:tcPr>
            <w:tcW w:w="1217" w:type="dxa"/>
            <w:vAlign w:val="center"/>
          </w:tcPr>
          <w:p w14:paraId="5CFC6F57">
            <w:pPr>
              <w:pStyle w:val="48"/>
            </w:pPr>
            <w:r>
              <w:rPr>
                <w:rFonts w:hint="eastAsia"/>
              </w:rPr>
              <w:t>●</w:t>
            </w:r>
          </w:p>
        </w:tc>
        <w:tc>
          <w:tcPr>
            <w:tcW w:w="756" w:type="dxa"/>
            <w:vAlign w:val="center"/>
          </w:tcPr>
          <w:p w14:paraId="7E4D0E6D">
            <w:pPr>
              <w:pStyle w:val="48"/>
            </w:pPr>
            <w:r>
              <w:rPr>
                <w:rFonts w:hint="eastAsia"/>
              </w:rPr>
              <w:t>●</w:t>
            </w:r>
          </w:p>
        </w:tc>
        <w:tc>
          <w:tcPr>
            <w:tcW w:w="700" w:type="dxa"/>
            <w:vAlign w:val="center"/>
          </w:tcPr>
          <w:p w14:paraId="202CF736">
            <w:pPr>
              <w:pStyle w:val="48"/>
            </w:pPr>
            <w:r>
              <w:rPr>
                <w:rFonts w:hint="eastAsia"/>
              </w:rPr>
              <w:t>●</w:t>
            </w:r>
          </w:p>
        </w:tc>
        <w:tc>
          <w:tcPr>
            <w:tcW w:w="658" w:type="dxa"/>
            <w:vAlign w:val="center"/>
          </w:tcPr>
          <w:p w14:paraId="525E1578">
            <w:pPr>
              <w:pStyle w:val="48"/>
            </w:pPr>
            <w:r>
              <w:rPr>
                <w:rFonts w:hint="eastAsia"/>
              </w:rPr>
              <w:t>●</w:t>
            </w:r>
          </w:p>
        </w:tc>
      </w:tr>
      <w:tr w14:paraId="0F388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Align w:val="center"/>
          </w:tcPr>
          <w:p w14:paraId="6F0A52B7">
            <w:pPr>
              <w:pStyle w:val="48"/>
            </w:pPr>
            <w:r>
              <w:t>公用设施用地</w:t>
            </w:r>
          </w:p>
        </w:tc>
        <w:tc>
          <w:tcPr>
            <w:tcW w:w="1577" w:type="dxa"/>
            <w:tcMar>
              <w:top w:w="15" w:type="dxa"/>
              <w:left w:w="36" w:type="dxa"/>
              <w:bottom w:w="0" w:type="dxa"/>
              <w:right w:w="36" w:type="dxa"/>
            </w:tcMar>
            <w:vAlign w:val="center"/>
          </w:tcPr>
          <w:p w14:paraId="2DEA0248">
            <w:pPr>
              <w:pStyle w:val="48"/>
            </w:pPr>
            <w:r>
              <w:rPr>
                <w:rFonts w:hint="eastAsia"/>
              </w:rPr>
              <w:t>公用</w:t>
            </w:r>
            <w:r>
              <w:t>设施用地</w:t>
            </w:r>
          </w:p>
        </w:tc>
        <w:tc>
          <w:tcPr>
            <w:tcW w:w="1134" w:type="dxa"/>
            <w:tcMar>
              <w:top w:w="15" w:type="dxa"/>
              <w:left w:w="36" w:type="dxa"/>
              <w:bottom w:w="0" w:type="dxa"/>
              <w:right w:w="36" w:type="dxa"/>
            </w:tcMar>
            <w:vAlign w:val="center"/>
          </w:tcPr>
          <w:p w14:paraId="42281092">
            <w:pPr>
              <w:pStyle w:val="48"/>
            </w:pPr>
            <w:r>
              <w:rPr>
                <w:rFonts w:hint="eastAsia"/>
              </w:rPr>
              <w:t>U</w:t>
            </w:r>
          </w:p>
        </w:tc>
        <w:tc>
          <w:tcPr>
            <w:tcW w:w="992" w:type="dxa"/>
            <w:tcMar>
              <w:top w:w="15" w:type="dxa"/>
              <w:left w:w="36" w:type="dxa"/>
              <w:bottom w:w="0" w:type="dxa"/>
              <w:right w:w="36" w:type="dxa"/>
            </w:tcMar>
            <w:vAlign w:val="center"/>
          </w:tcPr>
          <w:p w14:paraId="20DD23FB">
            <w:pPr>
              <w:pStyle w:val="48"/>
            </w:pPr>
            <w:r>
              <w:rPr>
                <w:rFonts w:hint="eastAsia"/>
              </w:rPr>
              <w:t>●</w:t>
            </w:r>
          </w:p>
        </w:tc>
        <w:tc>
          <w:tcPr>
            <w:tcW w:w="992" w:type="dxa"/>
            <w:tcMar>
              <w:top w:w="15" w:type="dxa"/>
              <w:left w:w="36" w:type="dxa"/>
              <w:bottom w:w="0" w:type="dxa"/>
              <w:right w:w="36" w:type="dxa"/>
            </w:tcMar>
            <w:vAlign w:val="center"/>
          </w:tcPr>
          <w:p w14:paraId="70FC5265">
            <w:pPr>
              <w:pStyle w:val="48"/>
            </w:pPr>
            <w:r>
              <w:rPr>
                <w:rFonts w:hint="eastAsia"/>
              </w:rPr>
              <w:t>●</w:t>
            </w:r>
          </w:p>
        </w:tc>
        <w:tc>
          <w:tcPr>
            <w:tcW w:w="992" w:type="dxa"/>
            <w:tcMar>
              <w:top w:w="15" w:type="dxa"/>
              <w:left w:w="36" w:type="dxa"/>
              <w:bottom w:w="0" w:type="dxa"/>
              <w:right w:w="36" w:type="dxa"/>
            </w:tcMar>
            <w:vAlign w:val="center"/>
          </w:tcPr>
          <w:p w14:paraId="6054B00F">
            <w:pPr>
              <w:pStyle w:val="48"/>
            </w:pPr>
            <w:r>
              <w:rPr>
                <w:rFonts w:hint="eastAsia"/>
              </w:rPr>
              <w:t>●</w:t>
            </w:r>
          </w:p>
        </w:tc>
        <w:tc>
          <w:tcPr>
            <w:tcW w:w="930" w:type="dxa"/>
            <w:tcMar>
              <w:top w:w="15" w:type="dxa"/>
              <w:left w:w="36" w:type="dxa"/>
              <w:bottom w:w="0" w:type="dxa"/>
              <w:right w:w="36" w:type="dxa"/>
            </w:tcMar>
            <w:vAlign w:val="center"/>
          </w:tcPr>
          <w:p w14:paraId="7357BDBD">
            <w:pPr>
              <w:pStyle w:val="48"/>
            </w:pPr>
            <w:r>
              <w:rPr>
                <w:rFonts w:hint="eastAsia"/>
              </w:rPr>
              <w:t>×</w:t>
            </w:r>
          </w:p>
        </w:tc>
        <w:tc>
          <w:tcPr>
            <w:tcW w:w="930" w:type="dxa"/>
            <w:tcMar>
              <w:top w:w="15" w:type="dxa"/>
              <w:left w:w="36" w:type="dxa"/>
              <w:bottom w:w="0" w:type="dxa"/>
              <w:right w:w="36" w:type="dxa"/>
            </w:tcMar>
            <w:vAlign w:val="center"/>
          </w:tcPr>
          <w:p w14:paraId="54464D23">
            <w:pPr>
              <w:pStyle w:val="48"/>
            </w:pPr>
            <w:r>
              <w:rPr>
                <w:rFonts w:hint="eastAsia"/>
              </w:rPr>
              <w:t>●</w:t>
            </w:r>
          </w:p>
        </w:tc>
        <w:tc>
          <w:tcPr>
            <w:tcW w:w="993" w:type="dxa"/>
            <w:tcMar>
              <w:top w:w="15" w:type="dxa"/>
              <w:left w:w="36" w:type="dxa"/>
              <w:bottom w:w="0" w:type="dxa"/>
              <w:right w:w="36" w:type="dxa"/>
            </w:tcMar>
            <w:vAlign w:val="center"/>
          </w:tcPr>
          <w:p w14:paraId="6BC4D019">
            <w:pPr>
              <w:pStyle w:val="48"/>
            </w:pPr>
            <w:r>
              <w:rPr>
                <w:rFonts w:hint="eastAsia"/>
              </w:rPr>
              <w:t>●</w:t>
            </w:r>
          </w:p>
        </w:tc>
        <w:tc>
          <w:tcPr>
            <w:tcW w:w="1204" w:type="dxa"/>
            <w:tcMar>
              <w:top w:w="15" w:type="dxa"/>
              <w:left w:w="36" w:type="dxa"/>
              <w:bottom w:w="0" w:type="dxa"/>
              <w:right w:w="36" w:type="dxa"/>
            </w:tcMar>
            <w:vAlign w:val="center"/>
          </w:tcPr>
          <w:p w14:paraId="157864BA">
            <w:pPr>
              <w:pStyle w:val="48"/>
            </w:pPr>
            <w:r>
              <w:rPr>
                <w:rFonts w:hint="eastAsia"/>
              </w:rPr>
              <w:t>●</w:t>
            </w:r>
          </w:p>
        </w:tc>
        <w:tc>
          <w:tcPr>
            <w:tcW w:w="689" w:type="dxa"/>
            <w:tcMar>
              <w:top w:w="15" w:type="dxa"/>
              <w:left w:w="36" w:type="dxa"/>
              <w:bottom w:w="0" w:type="dxa"/>
              <w:right w:w="36" w:type="dxa"/>
            </w:tcMar>
            <w:vAlign w:val="center"/>
          </w:tcPr>
          <w:p w14:paraId="570E9B7F">
            <w:pPr>
              <w:pStyle w:val="48"/>
            </w:pPr>
            <w:r>
              <w:rPr>
                <w:rFonts w:hint="eastAsia"/>
              </w:rPr>
              <w:t>●</w:t>
            </w:r>
          </w:p>
        </w:tc>
        <w:tc>
          <w:tcPr>
            <w:tcW w:w="867" w:type="dxa"/>
            <w:tcMar>
              <w:top w:w="15" w:type="dxa"/>
              <w:left w:w="36" w:type="dxa"/>
              <w:bottom w:w="0" w:type="dxa"/>
              <w:right w:w="36" w:type="dxa"/>
            </w:tcMar>
            <w:vAlign w:val="center"/>
          </w:tcPr>
          <w:p w14:paraId="1369E804">
            <w:pPr>
              <w:pStyle w:val="48"/>
            </w:pPr>
            <w:r>
              <w:rPr>
                <w:rFonts w:hint="eastAsia"/>
              </w:rPr>
              <w:t>●</w:t>
            </w:r>
          </w:p>
        </w:tc>
        <w:tc>
          <w:tcPr>
            <w:tcW w:w="784" w:type="dxa"/>
            <w:tcMar>
              <w:top w:w="15" w:type="dxa"/>
              <w:left w:w="36" w:type="dxa"/>
              <w:bottom w:w="0" w:type="dxa"/>
              <w:right w:w="36" w:type="dxa"/>
            </w:tcMar>
            <w:vAlign w:val="center"/>
          </w:tcPr>
          <w:p w14:paraId="23E8B8F4">
            <w:pPr>
              <w:pStyle w:val="48"/>
            </w:pPr>
            <w:r>
              <w:rPr>
                <w:rFonts w:hint="eastAsia"/>
              </w:rPr>
              <w:t>●</w:t>
            </w:r>
          </w:p>
        </w:tc>
        <w:tc>
          <w:tcPr>
            <w:tcW w:w="1022" w:type="dxa"/>
            <w:tcMar>
              <w:top w:w="15" w:type="dxa"/>
              <w:left w:w="36" w:type="dxa"/>
              <w:bottom w:w="0" w:type="dxa"/>
              <w:right w:w="36" w:type="dxa"/>
            </w:tcMar>
            <w:vAlign w:val="center"/>
          </w:tcPr>
          <w:p w14:paraId="5662AAAE">
            <w:pPr>
              <w:pStyle w:val="48"/>
            </w:pPr>
            <w:r>
              <w:rPr>
                <w:rFonts w:hint="eastAsia"/>
              </w:rPr>
              <w:t>●</w:t>
            </w:r>
          </w:p>
        </w:tc>
        <w:tc>
          <w:tcPr>
            <w:tcW w:w="784" w:type="dxa"/>
            <w:tcMar>
              <w:top w:w="15" w:type="dxa"/>
              <w:left w:w="36" w:type="dxa"/>
              <w:bottom w:w="0" w:type="dxa"/>
              <w:right w:w="36" w:type="dxa"/>
            </w:tcMar>
            <w:vAlign w:val="center"/>
          </w:tcPr>
          <w:p w14:paraId="41CD94B1">
            <w:pPr>
              <w:pStyle w:val="48"/>
            </w:pPr>
            <w:r>
              <w:rPr>
                <w:rFonts w:hint="eastAsia"/>
              </w:rPr>
              <w:t>●</w:t>
            </w:r>
          </w:p>
        </w:tc>
        <w:tc>
          <w:tcPr>
            <w:tcW w:w="1526" w:type="dxa"/>
            <w:tcMar>
              <w:top w:w="15" w:type="dxa"/>
              <w:left w:w="36" w:type="dxa"/>
              <w:bottom w:w="0" w:type="dxa"/>
              <w:right w:w="36" w:type="dxa"/>
            </w:tcMar>
            <w:vAlign w:val="center"/>
          </w:tcPr>
          <w:p w14:paraId="2E1D9972">
            <w:pPr>
              <w:pStyle w:val="48"/>
            </w:pPr>
            <w:r>
              <w:rPr>
                <w:rFonts w:hint="eastAsia"/>
              </w:rPr>
              <w:t>●</w:t>
            </w:r>
          </w:p>
        </w:tc>
        <w:tc>
          <w:tcPr>
            <w:tcW w:w="1217" w:type="dxa"/>
            <w:vAlign w:val="center"/>
          </w:tcPr>
          <w:p w14:paraId="45C5CB9E">
            <w:pPr>
              <w:pStyle w:val="48"/>
            </w:pPr>
            <w:r>
              <w:rPr>
                <w:rFonts w:hint="eastAsia"/>
              </w:rPr>
              <w:t>——</w:t>
            </w:r>
          </w:p>
        </w:tc>
        <w:tc>
          <w:tcPr>
            <w:tcW w:w="756" w:type="dxa"/>
            <w:vAlign w:val="center"/>
          </w:tcPr>
          <w:p w14:paraId="5A2F8611">
            <w:pPr>
              <w:pStyle w:val="48"/>
            </w:pPr>
            <w:r>
              <w:rPr>
                <w:rFonts w:hint="eastAsia"/>
              </w:rPr>
              <w:t>●</w:t>
            </w:r>
          </w:p>
        </w:tc>
        <w:tc>
          <w:tcPr>
            <w:tcW w:w="700" w:type="dxa"/>
            <w:vAlign w:val="center"/>
          </w:tcPr>
          <w:p w14:paraId="3A77EC74">
            <w:pPr>
              <w:pStyle w:val="48"/>
            </w:pPr>
            <w:r>
              <w:rPr>
                <w:rFonts w:hint="eastAsia"/>
              </w:rPr>
              <w:t>●</w:t>
            </w:r>
          </w:p>
        </w:tc>
        <w:tc>
          <w:tcPr>
            <w:tcW w:w="658" w:type="dxa"/>
            <w:vAlign w:val="center"/>
          </w:tcPr>
          <w:p w14:paraId="705242B0">
            <w:pPr>
              <w:pStyle w:val="48"/>
            </w:pPr>
            <w:r>
              <w:rPr>
                <w:rFonts w:hint="eastAsia"/>
              </w:rPr>
              <w:t>×</w:t>
            </w:r>
          </w:p>
        </w:tc>
      </w:tr>
      <w:tr w14:paraId="4476C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restart"/>
            <w:tcMar>
              <w:top w:w="15" w:type="dxa"/>
              <w:left w:w="36" w:type="dxa"/>
              <w:bottom w:w="0" w:type="dxa"/>
              <w:right w:w="36" w:type="dxa"/>
            </w:tcMar>
            <w:vAlign w:val="center"/>
          </w:tcPr>
          <w:p w14:paraId="42066024">
            <w:pPr>
              <w:pStyle w:val="48"/>
            </w:pPr>
            <w:r>
              <w:rPr>
                <w:rFonts w:hint="eastAsia"/>
              </w:rPr>
              <w:t>绿地与广场用地</w:t>
            </w:r>
          </w:p>
        </w:tc>
        <w:tc>
          <w:tcPr>
            <w:tcW w:w="1577" w:type="dxa"/>
            <w:tcMar>
              <w:top w:w="15" w:type="dxa"/>
              <w:left w:w="36" w:type="dxa"/>
              <w:bottom w:w="0" w:type="dxa"/>
              <w:right w:w="36" w:type="dxa"/>
            </w:tcMar>
            <w:vAlign w:val="center"/>
          </w:tcPr>
          <w:p w14:paraId="4770DC68">
            <w:pPr>
              <w:pStyle w:val="48"/>
            </w:pPr>
            <w:r>
              <w:rPr>
                <w:rFonts w:hint="eastAsia"/>
              </w:rPr>
              <w:t>公园绿地</w:t>
            </w:r>
          </w:p>
        </w:tc>
        <w:tc>
          <w:tcPr>
            <w:tcW w:w="1134" w:type="dxa"/>
            <w:tcMar>
              <w:top w:w="15" w:type="dxa"/>
              <w:left w:w="36" w:type="dxa"/>
              <w:bottom w:w="0" w:type="dxa"/>
              <w:right w:w="36" w:type="dxa"/>
            </w:tcMar>
            <w:vAlign w:val="center"/>
          </w:tcPr>
          <w:p w14:paraId="031A1725">
            <w:pPr>
              <w:pStyle w:val="48"/>
            </w:pPr>
            <w:r>
              <w:rPr>
                <w:rFonts w:hint="eastAsia"/>
              </w:rPr>
              <w:t>G1</w:t>
            </w:r>
          </w:p>
        </w:tc>
        <w:tc>
          <w:tcPr>
            <w:tcW w:w="992" w:type="dxa"/>
            <w:tcMar>
              <w:top w:w="15" w:type="dxa"/>
              <w:left w:w="36" w:type="dxa"/>
              <w:bottom w:w="0" w:type="dxa"/>
              <w:right w:w="36" w:type="dxa"/>
            </w:tcMar>
            <w:vAlign w:val="center"/>
          </w:tcPr>
          <w:p w14:paraId="4ED5C9DB">
            <w:pPr>
              <w:pStyle w:val="48"/>
            </w:pPr>
            <w:r>
              <w:rPr>
                <w:rFonts w:hint="eastAsia"/>
              </w:rPr>
              <w:t>●</w:t>
            </w:r>
          </w:p>
        </w:tc>
        <w:tc>
          <w:tcPr>
            <w:tcW w:w="992" w:type="dxa"/>
            <w:tcMar>
              <w:top w:w="15" w:type="dxa"/>
              <w:left w:w="36" w:type="dxa"/>
              <w:bottom w:w="0" w:type="dxa"/>
              <w:right w:w="36" w:type="dxa"/>
            </w:tcMar>
            <w:vAlign w:val="center"/>
          </w:tcPr>
          <w:p w14:paraId="35B11A05">
            <w:pPr>
              <w:pStyle w:val="48"/>
            </w:pPr>
            <w:r>
              <w:rPr>
                <w:rFonts w:hint="eastAsia"/>
              </w:rPr>
              <w:t>●</w:t>
            </w:r>
          </w:p>
        </w:tc>
        <w:tc>
          <w:tcPr>
            <w:tcW w:w="992" w:type="dxa"/>
            <w:tcMar>
              <w:top w:w="15" w:type="dxa"/>
              <w:left w:w="36" w:type="dxa"/>
              <w:bottom w:w="0" w:type="dxa"/>
              <w:right w:w="36" w:type="dxa"/>
            </w:tcMar>
            <w:vAlign w:val="center"/>
          </w:tcPr>
          <w:p w14:paraId="027A0409">
            <w:pPr>
              <w:pStyle w:val="48"/>
            </w:pPr>
            <w:r>
              <w:rPr>
                <w:rFonts w:hint="eastAsia"/>
              </w:rPr>
              <w:t>●</w:t>
            </w:r>
          </w:p>
        </w:tc>
        <w:tc>
          <w:tcPr>
            <w:tcW w:w="930" w:type="dxa"/>
            <w:tcMar>
              <w:top w:w="15" w:type="dxa"/>
              <w:left w:w="36" w:type="dxa"/>
              <w:bottom w:w="0" w:type="dxa"/>
              <w:right w:w="36" w:type="dxa"/>
            </w:tcMar>
            <w:vAlign w:val="center"/>
          </w:tcPr>
          <w:p w14:paraId="1ED766E2">
            <w:pPr>
              <w:pStyle w:val="48"/>
            </w:pPr>
            <w:r>
              <w:rPr>
                <w:rFonts w:hint="eastAsia"/>
              </w:rPr>
              <w:t>×</w:t>
            </w:r>
          </w:p>
        </w:tc>
        <w:tc>
          <w:tcPr>
            <w:tcW w:w="930" w:type="dxa"/>
            <w:tcMar>
              <w:top w:w="15" w:type="dxa"/>
              <w:left w:w="36" w:type="dxa"/>
              <w:bottom w:w="0" w:type="dxa"/>
              <w:right w:w="36" w:type="dxa"/>
            </w:tcMar>
            <w:vAlign w:val="center"/>
          </w:tcPr>
          <w:p w14:paraId="1DEC8D52">
            <w:pPr>
              <w:pStyle w:val="48"/>
            </w:pPr>
            <w:r>
              <w:rPr>
                <w:rFonts w:hint="eastAsia"/>
              </w:rPr>
              <w:t>●</w:t>
            </w:r>
          </w:p>
        </w:tc>
        <w:tc>
          <w:tcPr>
            <w:tcW w:w="993" w:type="dxa"/>
            <w:tcMar>
              <w:top w:w="15" w:type="dxa"/>
              <w:left w:w="36" w:type="dxa"/>
              <w:bottom w:w="0" w:type="dxa"/>
              <w:right w:w="36" w:type="dxa"/>
            </w:tcMar>
            <w:vAlign w:val="center"/>
          </w:tcPr>
          <w:p w14:paraId="12E307EF">
            <w:pPr>
              <w:pStyle w:val="48"/>
            </w:pPr>
            <w:r>
              <w:rPr>
                <w:rFonts w:hint="eastAsia"/>
              </w:rPr>
              <w:t>●</w:t>
            </w:r>
          </w:p>
        </w:tc>
        <w:tc>
          <w:tcPr>
            <w:tcW w:w="1204" w:type="dxa"/>
            <w:tcMar>
              <w:top w:w="15" w:type="dxa"/>
              <w:left w:w="36" w:type="dxa"/>
              <w:bottom w:w="0" w:type="dxa"/>
              <w:right w:w="36" w:type="dxa"/>
            </w:tcMar>
            <w:vAlign w:val="center"/>
          </w:tcPr>
          <w:p w14:paraId="55E1341C">
            <w:pPr>
              <w:pStyle w:val="48"/>
            </w:pPr>
            <w:r>
              <w:rPr>
                <w:rFonts w:hint="eastAsia"/>
              </w:rPr>
              <w:t>●</w:t>
            </w:r>
          </w:p>
        </w:tc>
        <w:tc>
          <w:tcPr>
            <w:tcW w:w="689" w:type="dxa"/>
            <w:tcMar>
              <w:top w:w="15" w:type="dxa"/>
              <w:left w:w="36" w:type="dxa"/>
              <w:bottom w:w="0" w:type="dxa"/>
              <w:right w:w="36" w:type="dxa"/>
            </w:tcMar>
            <w:vAlign w:val="center"/>
          </w:tcPr>
          <w:p w14:paraId="36A3D49C">
            <w:pPr>
              <w:pStyle w:val="48"/>
            </w:pPr>
            <w:r>
              <w:rPr>
                <w:rFonts w:hint="eastAsia"/>
              </w:rPr>
              <w:t>●</w:t>
            </w:r>
          </w:p>
        </w:tc>
        <w:tc>
          <w:tcPr>
            <w:tcW w:w="867" w:type="dxa"/>
            <w:tcMar>
              <w:top w:w="15" w:type="dxa"/>
              <w:left w:w="36" w:type="dxa"/>
              <w:bottom w:w="0" w:type="dxa"/>
              <w:right w:w="36" w:type="dxa"/>
            </w:tcMar>
            <w:vAlign w:val="center"/>
          </w:tcPr>
          <w:p w14:paraId="1EFDCF79">
            <w:pPr>
              <w:pStyle w:val="48"/>
            </w:pPr>
            <w:r>
              <w:rPr>
                <w:rFonts w:hint="eastAsia"/>
              </w:rPr>
              <w:t>●</w:t>
            </w:r>
          </w:p>
        </w:tc>
        <w:tc>
          <w:tcPr>
            <w:tcW w:w="784" w:type="dxa"/>
            <w:tcMar>
              <w:top w:w="15" w:type="dxa"/>
              <w:left w:w="36" w:type="dxa"/>
              <w:bottom w:w="0" w:type="dxa"/>
              <w:right w:w="36" w:type="dxa"/>
            </w:tcMar>
            <w:vAlign w:val="center"/>
          </w:tcPr>
          <w:p w14:paraId="274FA169">
            <w:pPr>
              <w:pStyle w:val="48"/>
            </w:pPr>
            <w:r>
              <w:rPr>
                <w:rFonts w:hint="eastAsia"/>
              </w:rPr>
              <w:t>●</w:t>
            </w:r>
          </w:p>
        </w:tc>
        <w:tc>
          <w:tcPr>
            <w:tcW w:w="1022" w:type="dxa"/>
            <w:tcMar>
              <w:top w:w="15" w:type="dxa"/>
              <w:left w:w="36" w:type="dxa"/>
              <w:bottom w:w="0" w:type="dxa"/>
              <w:right w:w="36" w:type="dxa"/>
            </w:tcMar>
            <w:vAlign w:val="center"/>
          </w:tcPr>
          <w:p w14:paraId="12B0E2FD">
            <w:pPr>
              <w:pStyle w:val="48"/>
            </w:pPr>
            <w:r>
              <w:rPr>
                <w:rFonts w:hint="eastAsia"/>
              </w:rPr>
              <w:t>●</w:t>
            </w:r>
          </w:p>
        </w:tc>
        <w:tc>
          <w:tcPr>
            <w:tcW w:w="784" w:type="dxa"/>
            <w:tcMar>
              <w:top w:w="15" w:type="dxa"/>
              <w:left w:w="36" w:type="dxa"/>
              <w:bottom w:w="0" w:type="dxa"/>
              <w:right w:w="36" w:type="dxa"/>
            </w:tcMar>
            <w:vAlign w:val="center"/>
          </w:tcPr>
          <w:p w14:paraId="3AC33FDC">
            <w:pPr>
              <w:pStyle w:val="48"/>
            </w:pPr>
            <w:r>
              <w:rPr>
                <w:rFonts w:hint="eastAsia"/>
              </w:rPr>
              <w:t>●</w:t>
            </w:r>
          </w:p>
        </w:tc>
        <w:tc>
          <w:tcPr>
            <w:tcW w:w="1526" w:type="dxa"/>
            <w:tcMar>
              <w:top w:w="15" w:type="dxa"/>
              <w:left w:w="36" w:type="dxa"/>
              <w:bottom w:w="0" w:type="dxa"/>
              <w:right w:w="36" w:type="dxa"/>
            </w:tcMar>
            <w:vAlign w:val="center"/>
          </w:tcPr>
          <w:p w14:paraId="04597113">
            <w:pPr>
              <w:pStyle w:val="48"/>
            </w:pPr>
            <w:r>
              <w:rPr>
                <w:rFonts w:hint="eastAsia"/>
              </w:rPr>
              <w:t>●</w:t>
            </w:r>
          </w:p>
        </w:tc>
        <w:tc>
          <w:tcPr>
            <w:tcW w:w="1217" w:type="dxa"/>
            <w:vAlign w:val="center"/>
          </w:tcPr>
          <w:p w14:paraId="08F29E05">
            <w:pPr>
              <w:pStyle w:val="48"/>
            </w:pPr>
            <w:r>
              <w:rPr>
                <w:rFonts w:hint="eastAsia"/>
              </w:rPr>
              <w:t>●</w:t>
            </w:r>
          </w:p>
        </w:tc>
        <w:tc>
          <w:tcPr>
            <w:tcW w:w="756" w:type="dxa"/>
            <w:vAlign w:val="center"/>
          </w:tcPr>
          <w:p w14:paraId="65111488">
            <w:pPr>
              <w:pStyle w:val="48"/>
            </w:pPr>
            <w:r>
              <w:rPr>
                <w:rFonts w:hint="eastAsia"/>
              </w:rPr>
              <w:t>——</w:t>
            </w:r>
          </w:p>
        </w:tc>
        <w:tc>
          <w:tcPr>
            <w:tcW w:w="700" w:type="dxa"/>
            <w:vAlign w:val="center"/>
          </w:tcPr>
          <w:p w14:paraId="1ED2F949">
            <w:pPr>
              <w:pStyle w:val="48"/>
            </w:pPr>
            <w:r>
              <w:rPr>
                <w:rFonts w:hint="eastAsia"/>
              </w:rPr>
              <w:t>×</w:t>
            </w:r>
          </w:p>
        </w:tc>
        <w:tc>
          <w:tcPr>
            <w:tcW w:w="658" w:type="dxa"/>
            <w:vAlign w:val="center"/>
          </w:tcPr>
          <w:p w14:paraId="553E82AB">
            <w:pPr>
              <w:pStyle w:val="48"/>
            </w:pPr>
            <w:r>
              <w:rPr>
                <w:rFonts w:hint="eastAsia"/>
              </w:rPr>
              <w:t>●</w:t>
            </w:r>
          </w:p>
        </w:tc>
      </w:tr>
      <w:tr w14:paraId="48DB3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tcMar>
              <w:top w:w="15" w:type="dxa"/>
              <w:left w:w="36" w:type="dxa"/>
              <w:bottom w:w="0" w:type="dxa"/>
              <w:right w:w="36" w:type="dxa"/>
            </w:tcMar>
            <w:vAlign w:val="center"/>
          </w:tcPr>
          <w:p w14:paraId="5944265F">
            <w:pPr>
              <w:pStyle w:val="48"/>
            </w:pPr>
          </w:p>
        </w:tc>
        <w:tc>
          <w:tcPr>
            <w:tcW w:w="1577" w:type="dxa"/>
            <w:tcMar>
              <w:top w:w="15" w:type="dxa"/>
              <w:left w:w="36" w:type="dxa"/>
              <w:bottom w:w="0" w:type="dxa"/>
              <w:right w:w="36" w:type="dxa"/>
            </w:tcMar>
            <w:vAlign w:val="center"/>
          </w:tcPr>
          <w:p w14:paraId="16D1DEAF">
            <w:pPr>
              <w:pStyle w:val="48"/>
            </w:pPr>
            <w:r>
              <w:rPr>
                <w:rFonts w:hint="eastAsia"/>
              </w:rPr>
              <w:t>防护</w:t>
            </w:r>
            <w:r>
              <w:t>绿地</w:t>
            </w:r>
          </w:p>
        </w:tc>
        <w:tc>
          <w:tcPr>
            <w:tcW w:w="1134" w:type="dxa"/>
            <w:tcMar>
              <w:top w:w="15" w:type="dxa"/>
              <w:left w:w="36" w:type="dxa"/>
              <w:bottom w:w="0" w:type="dxa"/>
              <w:right w:w="36" w:type="dxa"/>
            </w:tcMar>
            <w:vAlign w:val="center"/>
          </w:tcPr>
          <w:p w14:paraId="498E97D2">
            <w:pPr>
              <w:pStyle w:val="48"/>
            </w:pPr>
            <w:r>
              <w:rPr>
                <w:rFonts w:hint="eastAsia"/>
              </w:rPr>
              <w:t>G</w:t>
            </w:r>
            <w:r>
              <w:t>2</w:t>
            </w:r>
          </w:p>
        </w:tc>
        <w:tc>
          <w:tcPr>
            <w:tcW w:w="992" w:type="dxa"/>
            <w:tcMar>
              <w:top w:w="15" w:type="dxa"/>
              <w:left w:w="36" w:type="dxa"/>
              <w:bottom w:w="0" w:type="dxa"/>
              <w:right w:w="36" w:type="dxa"/>
            </w:tcMar>
            <w:vAlign w:val="center"/>
          </w:tcPr>
          <w:p w14:paraId="3D4C8D21">
            <w:pPr>
              <w:pStyle w:val="48"/>
            </w:pPr>
            <w:r>
              <w:rPr>
                <w:rFonts w:hint="eastAsia"/>
              </w:rPr>
              <w:t>●</w:t>
            </w:r>
          </w:p>
        </w:tc>
        <w:tc>
          <w:tcPr>
            <w:tcW w:w="992" w:type="dxa"/>
            <w:tcMar>
              <w:top w:w="15" w:type="dxa"/>
              <w:left w:w="36" w:type="dxa"/>
              <w:bottom w:w="0" w:type="dxa"/>
              <w:right w:w="36" w:type="dxa"/>
            </w:tcMar>
            <w:vAlign w:val="center"/>
          </w:tcPr>
          <w:p w14:paraId="72A385DC">
            <w:pPr>
              <w:pStyle w:val="48"/>
            </w:pPr>
            <w:r>
              <w:rPr>
                <w:rFonts w:hint="eastAsia"/>
              </w:rPr>
              <w:t>●</w:t>
            </w:r>
          </w:p>
        </w:tc>
        <w:tc>
          <w:tcPr>
            <w:tcW w:w="992" w:type="dxa"/>
            <w:tcMar>
              <w:top w:w="15" w:type="dxa"/>
              <w:left w:w="36" w:type="dxa"/>
              <w:bottom w:w="0" w:type="dxa"/>
              <w:right w:w="36" w:type="dxa"/>
            </w:tcMar>
            <w:vAlign w:val="center"/>
          </w:tcPr>
          <w:p w14:paraId="7C1906B5">
            <w:pPr>
              <w:pStyle w:val="48"/>
            </w:pPr>
            <w:r>
              <w:rPr>
                <w:rFonts w:hint="eastAsia"/>
              </w:rPr>
              <w:t>●</w:t>
            </w:r>
          </w:p>
        </w:tc>
        <w:tc>
          <w:tcPr>
            <w:tcW w:w="930" w:type="dxa"/>
            <w:tcMar>
              <w:top w:w="15" w:type="dxa"/>
              <w:left w:w="36" w:type="dxa"/>
              <w:bottom w:w="0" w:type="dxa"/>
              <w:right w:w="36" w:type="dxa"/>
            </w:tcMar>
            <w:vAlign w:val="center"/>
          </w:tcPr>
          <w:p w14:paraId="334EF558">
            <w:pPr>
              <w:pStyle w:val="48"/>
            </w:pPr>
            <w:r>
              <w:rPr>
                <w:rFonts w:hint="eastAsia"/>
              </w:rPr>
              <w:t>×</w:t>
            </w:r>
          </w:p>
        </w:tc>
        <w:tc>
          <w:tcPr>
            <w:tcW w:w="930" w:type="dxa"/>
            <w:tcMar>
              <w:top w:w="15" w:type="dxa"/>
              <w:left w:w="36" w:type="dxa"/>
              <w:bottom w:w="0" w:type="dxa"/>
              <w:right w:w="36" w:type="dxa"/>
            </w:tcMar>
            <w:vAlign w:val="center"/>
          </w:tcPr>
          <w:p w14:paraId="5FCD9965">
            <w:pPr>
              <w:pStyle w:val="48"/>
            </w:pPr>
            <w:r>
              <w:rPr>
                <w:rFonts w:hint="eastAsia"/>
              </w:rPr>
              <w:t>●</w:t>
            </w:r>
          </w:p>
        </w:tc>
        <w:tc>
          <w:tcPr>
            <w:tcW w:w="993" w:type="dxa"/>
            <w:tcMar>
              <w:top w:w="15" w:type="dxa"/>
              <w:left w:w="36" w:type="dxa"/>
              <w:bottom w:w="0" w:type="dxa"/>
              <w:right w:w="36" w:type="dxa"/>
            </w:tcMar>
            <w:vAlign w:val="center"/>
          </w:tcPr>
          <w:p w14:paraId="72EAA562">
            <w:pPr>
              <w:pStyle w:val="48"/>
            </w:pPr>
            <w:r>
              <w:rPr>
                <w:rFonts w:hint="eastAsia"/>
              </w:rPr>
              <w:t>●</w:t>
            </w:r>
          </w:p>
        </w:tc>
        <w:tc>
          <w:tcPr>
            <w:tcW w:w="1204" w:type="dxa"/>
            <w:tcMar>
              <w:top w:w="15" w:type="dxa"/>
              <w:left w:w="36" w:type="dxa"/>
              <w:bottom w:w="0" w:type="dxa"/>
              <w:right w:w="36" w:type="dxa"/>
            </w:tcMar>
            <w:vAlign w:val="center"/>
          </w:tcPr>
          <w:p w14:paraId="36340B8E">
            <w:pPr>
              <w:pStyle w:val="48"/>
            </w:pPr>
            <w:r>
              <w:rPr>
                <w:rFonts w:hint="eastAsia"/>
              </w:rPr>
              <w:t>●</w:t>
            </w:r>
          </w:p>
        </w:tc>
        <w:tc>
          <w:tcPr>
            <w:tcW w:w="689" w:type="dxa"/>
            <w:tcMar>
              <w:top w:w="15" w:type="dxa"/>
              <w:left w:w="36" w:type="dxa"/>
              <w:bottom w:w="0" w:type="dxa"/>
              <w:right w:w="36" w:type="dxa"/>
            </w:tcMar>
            <w:vAlign w:val="center"/>
          </w:tcPr>
          <w:p w14:paraId="2CCAAD71">
            <w:pPr>
              <w:pStyle w:val="48"/>
            </w:pPr>
            <w:r>
              <w:rPr>
                <w:rFonts w:hint="eastAsia"/>
              </w:rPr>
              <w:t>●</w:t>
            </w:r>
          </w:p>
        </w:tc>
        <w:tc>
          <w:tcPr>
            <w:tcW w:w="867" w:type="dxa"/>
            <w:tcMar>
              <w:top w:w="15" w:type="dxa"/>
              <w:left w:w="36" w:type="dxa"/>
              <w:bottom w:w="0" w:type="dxa"/>
              <w:right w:w="36" w:type="dxa"/>
            </w:tcMar>
            <w:vAlign w:val="center"/>
          </w:tcPr>
          <w:p w14:paraId="274E03FB">
            <w:pPr>
              <w:pStyle w:val="48"/>
            </w:pPr>
            <w:r>
              <w:rPr>
                <w:rFonts w:hint="eastAsia"/>
              </w:rPr>
              <w:t>●</w:t>
            </w:r>
          </w:p>
        </w:tc>
        <w:tc>
          <w:tcPr>
            <w:tcW w:w="784" w:type="dxa"/>
            <w:tcMar>
              <w:top w:w="15" w:type="dxa"/>
              <w:left w:w="36" w:type="dxa"/>
              <w:bottom w:w="0" w:type="dxa"/>
              <w:right w:w="36" w:type="dxa"/>
            </w:tcMar>
            <w:vAlign w:val="center"/>
          </w:tcPr>
          <w:p w14:paraId="72D80F79">
            <w:pPr>
              <w:pStyle w:val="48"/>
            </w:pPr>
            <w:r>
              <w:rPr>
                <w:rFonts w:hint="eastAsia"/>
              </w:rPr>
              <w:t>●</w:t>
            </w:r>
          </w:p>
        </w:tc>
        <w:tc>
          <w:tcPr>
            <w:tcW w:w="1022" w:type="dxa"/>
            <w:tcMar>
              <w:top w:w="15" w:type="dxa"/>
              <w:left w:w="36" w:type="dxa"/>
              <w:bottom w:w="0" w:type="dxa"/>
              <w:right w:w="36" w:type="dxa"/>
            </w:tcMar>
            <w:vAlign w:val="center"/>
          </w:tcPr>
          <w:p w14:paraId="6EDA1B40">
            <w:pPr>
              <w:pStyle w:val="48"/>
            </w:pPr>
            <w:r>
              <w:rPr>
                <w:rFonts w:hint="eastAsia"/>
              </w:rPr>
              <w:t>●</w:t>
            </w:r>
          </w:p>
        </w:tc>
        <w:tc>
          <w:tcPr>
            <w:tcW w:w="784" w:type="dxa"/>
            <w:tcMar>
              <w:top w:w="15" w:type="dxa"/>
              <w:left w:w="36" w:type="dxa"/>
              <w:bottom w:w="0" w:type="dxa"/>
              <w:right w:w="36" w:type="dxa"/>
            </w:tcMar>
            <w:vAlign w:val="center"/>
          </w:tcPr>
          <w:p w14:paraId="776D71D1">
            <w:pPr>
              <w:pStyle w:val="48"/>
            </w:pPr>
            <w:r>
              <w:rPr>
                <w:rFonts w:hint="eastAsia"/>
              </w:rPr>
              <w:t>●</w:t>
            </w:r>
          </w:p>
        </w:tc>
        <w:tc>
          <w:tcPr>
            <w:tcW w:w="1526" w:type="dxa"/>
            <w:tcMar>
              <w:top w:w="15" w:type="dxa"/>
              <w:left w:w="36" w:type="dxa"/>
              <w:bottom w:w="0" w:type="dxa"/>
              <w:right w:w="36" w:type="dxa"/>
            </w:tcMar>
            <w:vAlign w:val="center"/>
          </w:tcPr>
          <w:p w14:paraId="26BD080A">
            <w:pPr>
              <w:pStyle w:val="48"/>
            </w:pPr>
            <w:r>
              <w:rPr>
                <w:rFonts w:hint="eastAsia"/>
              </w:rPr>
              <w:t>●</w:t>
            </w:r>
          </w:p>
        </w:tc>
        <w:tc>
          <w:tcPr>
            <w:tcW w:w="1217" w:type="dxa"/>
            <w:vAlign w:val="center"/>
          </w:tcPr>
          <w:p w14:paraId="299690A9">
            <w:pPr>
              <w:pStyle w:val="48"/>
            </w:pPr>
            <w:r>
              <w:rPr>
                <w:rFonts w:hint="eastAsia"/>
              </w:rPr>
              <w:t>●</w:t>
            </w:r>
          </w:p>
        </w:tc>
        <w:tc>
          <w:tcPr>
            <w:tcW w:w="756" w:type="dxa"/>
            <w:vAlign w:val="center"/>
          </w:tcPr>
          <w:p w14:paraId="1BE69864">
            <w:pPr>
              <w:pStyle w:val="48"/>
            </w:pPr>
            <w:r>
              <w:rPr>
                <w:rFonts w:hint="eastAsia"/>
              </w:rPr>
              <w:t>×</w:t>
            </w:r>
          </w:p>
        </w:tc>
        <w:tc>
          <w:tcPr>
            <w:tcW w:w="700" w:type="dxa"/>
            <w:vAlign w:val="center"/>
          </w:tcPr>
          <w:p w14:paraId="38559A80">
            <w:pPr>
              <w:pStyle w:val="48"/>
            </w:pPr>
            <w:r>
              <w:rPr>
                <w:rFonts w:hint="eastAsia"/>
              </w:rPr>
              <w:t>——</w:t>
            </w:r>
          </w:p>
        </w:tc>
        <w:tc>
          <w:tcPr>
            <w:tcW w:w="658" w:type="dxa"/>
            <w:vAlign w:val="center"/>
          </w:tcPr>
          <w:p w14:paraId="615E40F4">
            <w:pPr>
              <w:pStyle w:val="48"/>
            </w:pPr>
            <w:r>
              <w:rPr>
                <w:rFonts w:hint="eastAsia"/>
              </w:rPr>
              <w:t>×</w:t>
            </w:r>
          </w:p>
        </w:tc>
      </w:tr>
      <w:tr w14:paraId="0140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92" w:type="dxa"/>
            <w:vMerge w:val="continue"/>
            <w:tcMar>
              <w:top w:w="15" w:type="dxa"/>
              <w:left w:w="36" w:type="dxa"/>
              <w:bottom w:w="0" w:type="dxa"/>
              <w:right w:w="36" w:type="dxa"/>
            </w:tcMar>
            <w:vAlign w:val="center"/>
          </w:tcPr>
          <w:p w14:paraId="55474B1E">
            <w:pPr>
              <w:pStyle w:val="48"/>
            </w:pPr>
          </w:p>
        </w:tc>
        <w:tc>
          <w:tcPr>
            <w:tcW w:w="1577" w:type="dxa"/>
            <w:tcMar>
              <w:top w:w="15" w:type="dxa"/>
              <w:left w:w="36" w:type="dxa"/>
              <w:bottom w:w="0" w:type="dxa"/>
              <w:right w:w="36" w:type="dxa"/>
            </w:tcMar>
            <w:vAlign w:val="center"/>
          </w:tcPr>
          <w:p w14:paraId="18990FA1">
            <w:pPr>
              <w:pStyle w:val="48"/>
            </w:pPr>
            <w:r>
              <w:rPr>
                <w:rFonts w:hint="eastAsia"/>
              </w:rPr>
              <w:t>广场用地</w:t>
            </w:r>
          </w:p>
        </w:tc>
        <w:tc>
          <w:tcPr>
            <w:tcW w:w="1134" w:type="dxa"/>
            <w:tcMar>
              <w:top w:w="15" w:type="dxa"/>
              <w:left w:w="36" w:type="dxa"/>
              <w:bottom w:w="0" w:type="dxa"/>
              <w:right w:w="36" w:type="dxa"/>
            </w:tcMar>
            <w:vAlign w:val="center"/>
          </w:tcPr>
          <w:p w14:paraId="1BBF3FD3">
            <w:pPr>
              <w:pStyle w:val="48"/>
            </w:pPr>
            <w:r>
              <w:rPr>
                <w:rFonts w:hint="eastAsia"/>
              </w:rPr>
              <w:t>G3</w:t>
            </w:r>
          </w:p>
        </w:tc>
        <w:tc>
          <w:tcPr>
            <w:tcW w:w="992" w:type="dxa"/>
            <w:tcMar>
              <w:top w:w="15" w:type="dxa"/>
              <w:left w:w="36" w:type="dxa"/>
              <w:bottom w:w="0" w:type="dxa"/>
              <w:right w:w="36" w:type="dxa"/>
            </w:tcMar>
            <w:vAlign w:val="center"/>
          </w:tcPr>
          <w:p w14:paraId="150F3721">
            <w:pPr>
              <w:pStyle w:val="48"/>
            </w:pPr>
            <w:r>
              <w:rPr>
                <w:rFonts w:hint="eastAsia"/>
              </w:rPr>
              <w:t>●</w:t>
            </w:r>
          </w:p>
        </w:tc>
        <w:tc>
          <w:tcPr>
            <w:tcW w:w="992" w:type="dxa"/>
            <w:tcMar>
              <w:top w:w="15" w:type="dxa"/>
              <w:left w:w="36" w:type="dxa"/>
              <w:bottom w:w="0" w:type="dxa"/>
              <w:right w:w="36" w:type="dxa"/>
            </w:tcMar>
            <w:vAlign w:val="center"/>
          </w:tcPr>
          <w:p w14:paraId="3F4BEED4">
            <w:pPr>
              <w:pStyle w:val="48"/>
            </w:pPr>
            <w:r>
              <w:rPr>
                <w:rFonts w:hint="eastAsia"/>
              </w:rPr>
              <w:t>●</w:t>
            </w:r>
          </w:p>
        </w:tc>
        <w:tc>
          <w:tcPr>
            <w:tcW w:w="992" w:type="dxa"/>
            <w:tcMar>
              <w:top w:w="15" w:type="dxa"/>
              <w:left w:w="36" w:type="dxa"/>
              <w:bottom w:w="0" w:type="dxa"/>
              <w:right w:w="36" w:type="dxa"/>
            </w:tcMar>
            <w:vAlign w:val="center"/>
          </w:tcPr>
          <w:p w14:paraId="359A71A7">
            <w:pPr>
              <w:pStyle w:val="48"/>
            </w:pPr>
            <w:r>
              <w:rPr>
                <w:rFonts w:hint="eastAsia"/>
              </w:rPr>
              <w:t>●</w:t>
            </w:r>
          </w:p>
        </w:tc>
        <w:tc>
          <w:tcPr>
            <w:tcW w:w="930" w:type="dxa"/>
            <w:tcMar>
              <w:top w:w="15" w:type="dxa"/>
              <w:left w:w="36" w:type="dxa"/>
              <w:bottom w:w="0" w:type="dxa"/>
              <w:right w:w="36" w:type="dxa"/>
            </w:tcMar>
            <w:vAlign w:val="center"/>
          </w:tcPr>
          <w:p w14:paraId="11B205EC">
            <w:pPr>
              <w:pStyle w:val="48"/>
            </w:pPr>
            <w:r>
              <w:rPr>
                <w:rFonts w:hint="eastAsia"/>
              </w:rPr>
              <w:t>×</w:t>
            </w:r>
          </w:p>
        </w:tc>
        <w:tc>
          <w:tcPr>
            <w:tcW w:w="930" w:type="dxa"/>
            <w:tcMar>
              <w:top w:w="15" w:type="dxa"/>
              <w:left w:w="36" w:type="dxa"/>
              <w:bottom w:w="0" w:type="dxa"/>
              <w:right w:w="36" w:type="dxa"/>
            </w:tcMar>
            <w:vAlign w:val="center"/>
          </w:tcPr>
          <w:p w14:paraId="17A75B58">
            <w:pPr>
              <w:pStyle w:val="48"/>
            </w:pPr>
            <w:r>
              <w:rPr>
                <w:rFonts w:hint="eastAsia"/>
              </w:rPr>
              <w:t>●</w:t>
            </w:r>
          </w:p>
        </w:tc>
        <w:tc>
          <w:tcPr>
            <w:tcW w:w="993" w:type="dxa"/>
            <w:tcMar>
              <w:top w:w="15" w:type="dxa"/>
              <w:left w:w="36" w:type="dxa"/>
              <w:bottom w:w="0" w:type="dxa"/>
              <w:right w:w="36" w:type="dxa"/>
            </w:tcMar>
            <w:vAlign w:val="center"/>
          </w:tcPr>
          <w:p w14:paraId="5936FC5A">
            <w:pPr>
              <w:pStyle w:val="48"/>
            </w:pPr>
            <w:r>
              <w:rPr>
                <w:rFonts w:hint="eastAsia"/>
              </w:rPr>
              <w:t>●</w:t>
            </w:r>
          </w:p>
        </w:tc>
        <w:tc>
          <w:tcPr>
            <w:tcW w:w="1204" w:type="dxa"/>
            <w:tcMar>
              <w:top w:w="15" w:type="dxa"/>
              <w:left w:w="36" w:type="dxa"/>
              <w:bottom w:w="0" w:type="dxa"/>
              <w:right w:w="36" w:type="dxa"/>
            </w:tcMar>
            <w:vAlign w:val="center"/>
          </w:tcPr>
          <w:p w14:paraId="6E2999E1">
            <w:pPr>
              <w:pStyle w:val="48"/>
            </w:pPr>
            <w:r>
              <w:rPr>
                <w:rFonts w:hint="eastAsia"/>
              </w:rPr>
              <w:t>●</w:t>
            </w:r>
          </w:p>
        </w:tc>
        <w:tc>
          <w:tcPr>
            <w:tcW w:w="689" w:type="dxa"/>
            <w:tcMar>
              <w:top w:w="15" w:type="dxa"/>
              <w:left w:w="36" w:type="dxa"/>
              <w:bottom w:w="0" w:type="dxa"/>
              <w:right w:w="36" w:type="dxa"/>
            </w:tcMar>
            <w:vAlign w:val="center"/>
          </w:tcPr>
          <w:p w14:paraId="3B4C9EB6">
            <w:pPr>
              <w:pStyle w:val="48"/>
            </w:pPr>
            <w:r>
              <w:rPr>
                <w:rFonts w:hint="eastAsia"/>
              </w:rPr>
              <w:t>●</w:t>
            </w:r>
          </w:p>
        </w:tc>
        <w:tc>
          <w:tcPr>
            <w:tcW w:w="867" w:type="dxa"/>
            <w:tcMar>
              <w:top w:w="15" w:type="dxa"/>
              <w:left w:w="36" w:type="dxa"/>
              <w:bottom w:w="0" w:type="dxa"/>
              <w:right w:w="36" w:type="dxa"/>
            </w:tcMar>
            <w:vAlign w:val="center"/>
          </w:tcPr>
          <w:p w14:paraId="0ACCE8C0">
            <w:pPr>
              <w:pStyle w:val="48"/>
            </w:pPr>
            <w:r>
              <w:rPr>
                <w:rFonts w:hint="eastAsia"/>
              </w:rPr>
              <w:t>●</w:t>
            </w:r>
          </w:p>
        </w:tc>
        <w:tc>
          <w:tcPr>
            <w:tcW w:w="784" w:type="dxa"/>
            <w:tcMar>
              <w:top w:w="15" w:type="dxa"/>
              <w:left w:w="36" w:type="dxa"/>
              <w:bottom w:w="0" w:type="dxa"/>
              <w:right w:w="36" w:type="dxa"/>
            </w:tcMar>
            <w:vAlign w:val="center"/>
          </w:tcPr>
          <w:p w14:paraId="7D539F25">
            <w:pPr>
              <w:pStyle w:val="48"/>
            </w:pPr>
            <w:r>
              <w:rPr>
                <w:rFonts w:hint="eastAsia"/>
              </w:rPr>
              <w:t>●</w:t>
            </w:r>
          </w:p>
        </w:tc>
        <w:tc>
          <w:tcPr>
            <w:tcW w:w="1022" w:type="dxa"/>
            <w:tcMar>
              <w:top w:w="15" w:type="dxa"/>
              <w:left w:w="36" w:type="dxa"/>
              <w:bottom w:w="0" w:type="dxa"/>
              <w:right w:w="36" w:type="dxa"/>
            </w:tcMar>
            <w:vAlign w:val="center"/>
          </w:tcPr>
          <w:p w14:paraId="144EB5D2">
            <w:pPr>
              <w:pStyle w:val="48"/>
            </w:pPr>
            <w:r>
              <w:rPr>
                <w:rFonts w:hint="eastAsia"/>
              </w:rPr>
              <w:t>●</w:t>
            </w:r>
          </w:p>
        </w:tc>
        <w:tc>
          <w:tcPr>
            <w:tcW w:w="784" w:type="dxa"/>
            <w:tcMar>
              <w:top w:w="15" w:type="dxa"/>
              <w:left w:w="36" w:type="dxa"/>
              <w:bottom w:w="0" w:type="dxa"/>
              <w:right w:w="36" w:type="dxa"/>
            </w:tcMar>
            <w:vAlign w:val="center"/>
          </w:tcPr>
          <w:p w14:paraId="40D8C0C8">
            <w:pPr>
              <w:pStyle w:val="48"/>
            </w:pPr>
            <w:r>
              <w:rPr>
                <w:rFonts w:hint="eastAsia"/>
              </w:rPr>
              <w:t>●</w:t>
            </w:r>
          </w:p>
        </w:tc>
        <w:tc>
          <w:tcPr>
            <w:tcW w:w="1526" w:type="dxa"/>
            <w:tcMar>
              <w:top w:w="15" w:type="dxa"/>
              <w:left w:w="36" w:type="dxa"/>
              <w:bottom w:w="0" w:type="dxa"/>
              <w:right w:w="36" w:type="dxa"/>
            </w:tcMar>
            <w:vAlign w:val="center"/>
          </w:tcPr>
          <w:p w14:paraId="3FE5EEAA">
            <w:pPr>
              <w:pStyle w:val="48"/>
            </w:pPr>
            <w:r>
              <w:rPr>
                <w:rFonts w:hint="eastAsia"/>
              </w:rPr>
              <w:t>●</w:t>
            </w:r>
          </w:p>
        </w:tc>
        <w:tc>
          <w:tcPr>
            <w:tcW w:w="1217" w:type="dxa"/>
            <w:vAlign w:val="center"/>
          </w:tcPr>
          <w:p w14:paraId="67D08CA6">
            <w:pPr>
              <w:pStyle w:val="48"/>
            </w:pPr>
            <w:r>
              <w:rPr>
                <w:rFonts w:hint="eastAsia"/>
              </w:rPr>
              <w:t>●</w:t>
            </w:r>
          </w:p>
        </w:tc>
        <w:tc>
          <w:tcPr>
            <w:tcW w:w="756" w:type="dxa"/>
            <w:vAlign w:val="center"/>
          </w:tcPr>
          <w:p w14:paraId="7F7B3E13">
            <w:pPr>
              <w:pStyle w:val="48"/>
            </w:pPr>
            <w:r>
              <w:rPr>
                <w:rFonts w:hint="eastAsia"/>
              </w:rPr>
              <w:t>●</w:t>
            </w:r>
          </w:p>
        </w:tc>
        <w:tc>
          <w:tcPr>
            <w:tcW w:w="700" w:type="dxa"/>
            <w:vAlign w:val="center"/>
          </w:tcPr>
          <w:p w14:paraId="103CB6ED">
            <w:pPr>
              <w:pStyle w:val="48"/>
            </w:pPr>
            <w:r>
              <w:rPr>
                <w:rFonts w:hint="eastAsia"/>
              </w:rPr>
              <w:t>●</w:t>
            </w:r>
          </w:p>
        </w:tc>
        <w:tc>
          <w:tcPr>
            <w:tcW w:w="658" w:type="dxa"/>
            <w:vAlign w:val="center"/>
          </w:tcPr>
          <w:p w14:paraId="6F305826">
            <w:pPr>
              <w:pStyle w:val="48"/>
            </w:pPr>
            <w:r>
              <w:rPr>
                <w:rFonts w:hint="eastAsia"/>
              </w:rPr>
              <w:t>——</w:t>
            </w:r>
          </w:p>
        </w:tc>
      </w:tr>
    </w:tbl>
    <w:p w14:paraId="06E94682">
      <w:pPr>
        <w:pStyle w:val="48"/>
        <w:jc w:val="left"/>
      </w:pPr>
      <w:r>
        <w:rPr>
          <w:rFonts w:hint="eastAsia"/>
        </w:rPr>
        <w:t>注：①●允许兼容，▲允许或禁止设置，由规划审批部门根据具体条件和规划要求确定，× 禁止兼容；</w:t>
      </w:r>
      <w:r>
        <w:t xml:space="preserve"> </w:t>
      </w:r>
    </w:p>
    <w:p w14:paraId="50FDEBFA">
      <w:pPr>
        <w:pStyle w:val="48"/>
        <w:jc w:val="left"/>
      </w:pPr>
      <w:r>
        <w:rPr>
          <w:rFonts w:hint="eastAsia"/>
        </w:rPr>
        <w:t>②本表中B12批发市场用地仅指普通商品的批发市场，不含危险品等特种商品的特殊批发市场；B9其他服务设施用地中不含殡葬设施；</w:t>
      </w:r>
      <w:r>
        <w:t xml:space="preserve"> </w:t>
      </w:r>
    </w:p>
    <w:p w14:paraId="130F68DE">
      <w:pPr>
        <w:pStyle w:val="48"/>
        <w:jc w:val="left"/>
      </w:pPr>
      <w:r>
        <w:rPr>
          <w:rFonts w:hint="eastAsia"/>
        </w:rPr>
        <w:t>③兼容比例系指兼容类的计容建筑面积与该项目计入容积率的建筑面积的比例；</w:t>
      </w:r>
    </w:p>
    <w:p w14:paraId="6F3FA0F2">
      <w:pPr>
        <w:pStyle w:val="48"/>
        <w:jc w:val="left"/>
        <w:rPr>
          <w:sz w:val="28"/>
        </w:rPr>
      </w:pPr>
      <w:r>
        <w:rPr>
          <w:rFonts w:hint="eastAsia"/>
        </w:rPr>
        <w:t>④规划控制指标按主导用地类别进行管理。</w:t>
      </w:r>
    </w:p>
    <w:p w14:paraId="32E2EE0C">
      <w:pPr>
        <w:spacing w:line="580" w:lineRule="exact"/>
        <w:rPr>
          <w:rFonts w:ascii="宋体" w:hAnsi="宋体"/>
          <w:sz w:val="28"/>
          <w:szCs w:val="28"/>
        </w:rPr>
        <w:sectPr>
          <w:pgSz w:w="23814" w:h="16840" w:orient="landscape"/>
          <w:pgMar w:top="1985" w:right="1701" w:bottom="1701" w:left="2268" w:header="1134" w:footer="1134" w:gutter="0"/>
          <w:cols w:space="2109" w:num="1"/>
          <w:docGrid w:type="lines" w:linePitch="312" w:charSpace="-3603"/>
        </w:sectPr>
      </w:pPr>
    </w:p>
    <w:p w14:paraId="243B3701">
      <w:pPr>
        <w:spacing w:line="580" w:lineRule="exact"/>
        <w:jc w:val="center"/>
        <w:rPr>
          <w:rFonts w:ascii="宋体" w:hAnsi="宋体"/>
          <w:b/>
          <w:sz w:val="36"/>
          <w:szCs w:val="36"/>
        </w:rPr>
      </w:pPr>
      <w:r>
        <w:rPr>
          <w:rFonts w:hint="eastAsia" w:ascii="宋体" w:hAnsi="宋体"/>
          <w:b/>
          <w:sz w:val="36"/>
          <w:szCs w:val="36"/>
        </w:rPr>
        <w:t xml:space="preserve">目 </w:t>
      </w:r>
      <w:r>
        <w:rPr>
          <w:rFonts w:ascii="宋体" w:hAnsi="宋体"/>
          <w:b/>
          <w:sz w:val="36"/>
          <w:szCs w:val="36"/>
        </w:rPr>
        <w:t xml:space="preserve"> </w:t>
      </w:r>
      <w:r>
        <w:rPr>
          <w:rFonts w:hint="eastAsia" w:ascii="宋体" w:hAnsi="宋体"/>
          <w:b/>
          <w:sz w:val="36"/>
          <w:szCs w:val="36"/>
        </w:rPr>
        <w:t>录</w:t>
      </w:r>
    </w:p>
    <w:p w14:paraId="2483AC5B">
      <w:pPr>
        <w:spacing w:line="580" w:lineRule="exact"/>
        <w:rPr>
          <w:rFonts w:ascii="宋体" w:hAnsi="宋体"/>
          <w:sz w:val="28"/>
          <w:szCs w:val="28"/>
        </w:rPr>
      </w:pPr>
    </w:p>
    <w:p w14:paraId="2FC2711A">
      <w:pPr>
        <w:pStyle w:val="16"/>
        <w:tabs>
          <w:tab w:val="right" w:leader="dot" w:pos="8858"/>
        </w:tabs>
        <w:spacing w:line="580" w:lineRule="exact"/>
        <w:rPr>
          <w:rFonts w:ascii="宋体" w:hAnsi="宋体" w:cstheme="minorBidi"/>
          <w:sz w:val="28"/>
          <w:szCs w:val="28"/>
        </w:rPr>
      </w:pPr>
      <w:r>
        <w:rPr>
          <w:rFonts w:ascii="宋体" w:hAnsi="宋体"/>
          <w:sz w:val="28"/>
          <w:szCs w:val="28"/>
        </w:rPr>
        <w:fldChar w:fldCharType="begin"/>
      </w:r>
      <w:r>
        <w:rPr>
          <w:rFonts w:ascii="宋体" w:hAnsi="宋体"/>
          <w:sz w:val="28"/>
          <w:szCs w:val="28"/>
        </w:rPr>
        <w:instrText xml:space="preserve"> TOC \o "1-3" \h \z \u </w:instrText>
      </w:r>
      <w:r>
        <w:rPr>
          <w:rFonts w:ascii="宋体" w:hAnsi="宋体"/>
          <w:sz w:val="28"/>
          <w:szCs w:val="28"/>
        </w:rPr>
        <w:fldChar w:fldCharType="separate"/>
      </w:r>
      <w:r>
        <w:fldChar w:fldCharType="begin"/>
      </w:r>
      <w:r>
        <w:instrText xml:space="preserve"> HYPERLINK \l "_Toc528317005" </w:instrText>
      </w:r>
      <w:r>
        <w:fldChar w:fldCharType="separate"/>
      </w:r>
      <w:r>
        <w:rPr>
          <w:rStyle w:val="25"/>
          <w:rFonts w:ascii="宋体" w:hAnsi="宋体"/>
          <w:sz w:val="28"/>
          <w:szCs w:val="28"/>
        </w:rPr>
        <w:t>第一章  基本情况</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_Toc528317005 \h </w:instrText>
      </w:r>
      <w:r>
        <w:rPr>
          <w:rFonts w:ascii="宋体" w:hAnsi="宋体"/>
          <w:sz w:val="28"/>
          <w:szCs w:val="28"/>
        </w:rPr>
        <w:fldChar w:fldCharType="separate"/>
      </w:r>
      <w:r>
        <w:rPr>
          <w:rFonts w:ascii="宋体" w:hAnsi="宋体"/>
          <w:sz w:val="28"/>
          <w:szCs w:val="28"/>
        </w:rPr>
        <w:t>1</w:t>
      </w:r>
      <w:r>
        <w:rPr>
          <w:rFonts w:ascii="宋体" w:hAnsi="宋体"/>
          <w:sz w:val="28"/>
          <w:szCs w:val="28"/>
        </w:rPr>
        <w:fldChar w:fldCharType="end"/>
      </w:r>
      <w:r>
        <w:rPr>
          <w:rFonts w:ascii="宋体" w:hAnsi="宋体"/>
          <w:sz w:val="28"/>
          <w:szCs w:val="28"/>
        </w:rPr>
        <w:fldChar w:fldCharType="end"/>
      </w:r>
    </w:p>
    <w:p w14:paraId="451DEBFF">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"_Toc528317006"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规划背景与规划范围</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_Toc528317006 \h </w:instrText>
      </w:r>
      <w:r>
        <w:rPr>
          <w:rFonts w:ascii="宋体" w:hAnsi="宋体"/>
          <w:sz w:val="28"/>
          <w:szCs w:val="28"/>
        </w:rPr>
        <w:fldChar w:fldCharType="separate"/>
      </w:r>
      <w:r>
        <w:rPr>
          <w:rFonts w:ascii="宋体" w:hAnsi="宋体"/>
          <w:sz w:val="28"/>
          <w:szCs w:val="28"/>
        </w:rPr>
        <w:t>1</w:t>
      </w:r>
      <w:r>
        <w:rPr>
          <w:rFonts w:ascii="宋体" w:hAnsi="宋体"/>
          <w:sz w:val="28"/>
          <w:szCs w:val="28"/>
        </w:rPr>
        <w:fldChar w:fldCharType="end"/>
      </w:r>
      <w:r>
        <w:rPr>
          <w:rFonts w:ascii="宋体" w:hAnsi="宋体"/>
          <w:sz w:val="28"/>
          <w:szCs w:val="28"/>
        </w:rPr>
        <w:fldChar w:fldCharType="end"/>
      </w:r>
    </w:p>
    <w:p w14:paraId="040089BA">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"_Toc528317007"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规划依据</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_Toc528317007 \h </w:instrText>
      </w:r>
      <w:r>
        <w:rPr>
          <w:rFonts w:ascii="宋体" w:hAnsi="宋体"/>
          <w:sz w:val="28"/>
          <w:szCs w:val="28"/>
        </w:rPr>
        <w:fldChar w:fldCharType="separate"/>
      </w:r>
      <w:r>
        <w:rPr>
          <w:rFonts w:ascii="宋体" w:hAnsi="宋体"/>
          <w:sz w:val="28"/>
          <w:szCs w:val="28"/>
        </w:rPr>
        <w:t>1</w:t>
      </w:r>
      <w:r>
        <w:rPr>
          <w:rFonts w:ascii="宋体" w:hAnsi="宋体"/>
          <w:sz w:val="28"/>
          <w:szCs w:val="28"/>
        </w:rPr>
        <w:fldChar w:fldCharType="end"/>
      </w:r>
      <w:r>
        <w:rPr>
          <w:rFonts w:ascii="宋体" w:hAnsi="宋体"/>
          <w:sz w:val="28"/>
          <w:szCs w:val="28"/>
        </w:rPr>
        <w:fldChar w:fldCharType="end"/>
      </w:r>
    </w:p>
    <w:p w14:paraId="7C8845AC">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"_Toc528317008" </w:instrText>
      </w:r>
      <w:r>
        <w:fldChar w:fldCharType="separate"/>
      </w:r>
      <w:r>
        <w:rPr>
          <w:rStyle w:val="25"/>
          <w:rFonts w:ascii="宋体" w:hAnsi="宋体"/>
          <w:sz w:val="28"/>
          <w:szCs w:val="28"/>
        </w:rPr>
        <w:t>三、</w:t>
      </w:r>
      <w:r>
        <w:rPr>
          <w:rFonts w:ascii="宋体" w:hAnsi="宋体" w:cstheme="minorBidi"/>
          <w:sz w:val="28"/>
          <w:szCs w:val="28"/>
        </w:rPr>
        <w:tab/>
      </w:r>
      <w:r>
        <w:rPr>
          <w:rStyle w:val="25"/>
          <w:rFonts w:ascii="宋体" w:hAnsi="宋体"/>
          <w:sz w:val="28"/>
          <w:szCs w:val="28"/>
        </w:rPr>
        <w:t>相关规划解读</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_Toc528317008 \h </w:instrText>
      </w:r>
      <w:r>
        <w:rPr>
          <w:rFonts w:ascii="宋体" w:hAnsi="宋体"/>
          <w:sz w:val="28"/>
          <w:szCs w:val="28"/>
        </w:rPr>
        <w:fldChar w:fldCharType="separate"/>
      </w:r>
      <w:r>
        <w:rPr>
          <w:rFonts w:ascii="宋体" w:hAnsi="宋体"/>
          <w:sz w:val="28"/>
          <w:szCs w:val="28"/>
        </w:rPr>
        <w:t>2</w:t>
      </w:r>
      <w:r>
        <w:rPr>
          <w:rFonts w:ascii="宋体" w:hAnsi="宋体"/>
          <w:sz w:val="28"/>
          <w:szCs w:val="28"/>
        </w:rPr>
        <w:fldChar w:fldCharType="end"/>
      </w:r>
      <w:r>
        <w:rPr>
          <w:rFonts w:ascii="宋体" w:hAnsi="宋体"/>
          <w:sz w:val="28"/>
          <w:szCs w:val="28"/>
        </w:rPr>
        <w:fldChar w:fldCharType="end"/>
      </w:r>
    </w:p>
    <w:p w14:paraId="4157AE81">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"_Toc528317009" </w:instrText>
      </w:r>
      <w:r>
        <w:fldChar w:fldCharType="separate"/>
      </w:r>
      <w:r>
        <w:rPr>
          <w:rStyle w:val="25"/>
          <w:rFonts w:ascii="宋体" w:hAnsi="宋体"/>
          <w:sz w:val="28"/>
          <w:szCs w:val="28"/>
        </w:rPr>
        <w:t>四、</w:t>
      </w:r>
      <w:r>
        <w:rPr>
          <w:rFonts w:ascii="宋体" w:hAnsi="宋体" w:cstheme="minorBidi"/>
          <w:sz w:val="28"/>
          <w:szCs w:val="28"/>
        </w:rPr>
        <w:tab/>
      </w:r>
      <w:r>
        <w:rPr>
          <w:rStyle w:val="25"/>
          <w:rFonts w:ascii="宋体" w:hAnsi="宋体"/>
          <w:sz w:val="28"/>
          <w:szCs w:val="28"/>
        </w:rPr>
        <w:t>现状条件</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_Toc528317009 \h </w:instrText>
      </w:r>
      <w:r>
        <w:rPr>
          <w:rFonts w:ascii="宋体" w:hAnsi="宋体"/>
          <w:sz w:val="28"/>
          <w:szCs w:val="28"/>
        </w:rPr>
        <w:fldChar w:fldCharType="separate"/>
      </w:r>
      <w:r>
        <w:rPr>
          <w:rFonts w:ascii="宋体" w:hAnsi="宋体"/>
          <w:sz w:val="28"/>
          <w:szCs w:val="28"/>
        </w:rPr>
        <w:t>4</w:t>
      </w:r>
      <w:r>
        <w:rPr>
          <w:rFonts w:ascii="宋体" w:hAnsi="宋体"/>
          <w:sz w:val="28"/>
          <w:szCs w:val="28"/>
        </w:rPr>
        <w:fldChar w:fldCharType="end"/>
      </w:r>
      <w:r>
        <w:rPr>
          <w:rFonts w:ascii="宋体" w:hAnsi="宋体"/>
          <w:sz w:val="28"/>
          <w:szCs w:val="28"/>
        </w:rPr>
        <w:fldChar w:fldCharType="end"/>
      </w:r>
    </w:p>
    <w:p w14:paraId="6959742F">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"_Toc528317010" </w:instrText>
      </w:r>
      <w:r>
        <w:fldChar w:fldCharType="separate"/>
      </w:r>
      <w:r>
        <w:rPr>
          <w:rStyle w:val="25"/>
          <w:rFonts w:ascii="宋体" w:hAnsi="宋体"/>
          <w:sz w:val="28"/>
          <w:szCs w:val="28"/>
        </w:rPr>
        <w:t>五、</w:t>
      </w:r>
      <w:r>
        <w:rPr>
          <w:rFonts w:ascii="宋体" w:hAnsi="宋体" w:cstheme="minorBidi"/>
          <w:sz w:val="28"/>
          <w:szCs w:val="28"/>
        </w:rPr>
        <w:tab/>
      </w:r>
      <w:r>
        <w:rPr>
          <w:rStyle w:val="25"/>
          <w:rFonts w:ascii="宋体" w:hAnsi="宋体"/>
          <w:sz w:val="28"/>
          <w:szCs w:val="28"/>
        </w:rPr>
        <w:t>拟建项目情况</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_Toc528317010 \h </w:instrText>
      </w:r>
      <w:r>
        <w:rPr>
          <w:rFonts w:ascii="宋体" w:hAnsi="宋体"/>
          <w:sz w:val="28"/>
          <w:szCs w:val="28"/>
        </w:rPr>
        <w:fldChar w:fldCharType="separate"/>
      </w:r>
      <w:r>
        <w:rPr>
          <w:rFonts w:ascii="宋体" w:hAnsi="宋体"/>
          <w:sz w:val="28"/>
          <w:szCs w:val="28"/>
        </w:rPr>
        <w:t>6</w:t>
      </w:r>
      <w:r>
        <w:rPr>
          <w:rFonts w:ascii="宋体" w:hAnsi="宋体"/>
          <w:sz w:val="28"/>
          <w:szCs w:val="28"/>
        </w:rPr>
        <w:fldChar w:fldCharType="end"/>
      </w:r>
      <w:r>
        <w:rPr>
          <w:rFonts w:ascii="宋体" w:hAnsi="宋体"/>
          <w:sz w:val="28"/>
          <w:szCs w:val="28"/>
        </w:rPr>
        <w:fldChar w:fldCharType="end"/>
      </w:r>
    </w:p>
    <w:p w14:paraId="68C79D71">
      <w:pPr>
        <w:pStyle w:val="16"/>
        <w:tabs>
          <w:tab w:val="right" w:leader="dot" w:pos="8858"/>
        </w:tabs>
        <w:spacing w:line="580" w:lineRule="exact"/>
        <w:rPr>
          <w:rFonts w:ascii="宋体" w:hAnsi="宋体" w:cstheme="minorBidi"/>
          <w:sz w:val="28"/>
          <w:szCs w:val="28"/>
        </w:rPr>
      </w:pPr>
      <w:r>
        <w:fldChar w:fldCharType="begin"/>
      </w:r>
      <w:r>
        <w:instrText xml:space="preserve"> HYPERLINK \l "_Toc528317011" </w:instrText>
      </w:r>
      <w:r>
        <w:fldChar w:fldCharType="separate"/>
      </w:r>
      <w:r>
        <w:rPr>
          <w:rStyle w:val="25"/>
          <w:rFonts w:ascii="宋体" w:hAnsi="宋体"/>
          <w:sz w:val="28"/>
          <w:szCs w:val="28"/>
        </w:rPr>
        <w:t>第二章  规划总则</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_Toc528317011 \h </w:instrText>
      </w:r>
      <w:r>
        <w:rPr>
          <w:rFonts w:ascii="宋体" w:hAnsi="宋体"/>
          <w:sz w:val="28"/>
          <w:szCs w:val="28"/>
        </w:rPr>
        <w:fldChar w:fldCharType="separate"/>
      </w:r>
      <w:r>
        <w:rPr>
          <w:rFonts w:ascii="宋体" w:hAnsi="宋体"/>
          <w:sz w:val="28"/>
          <w:szCs w:val="28"/>
        </w:rPr>
        <w:t>7</w:t>
      </w:r>
      <w:r>
        <w:rPr>
          <w:rFonts w:ascii="宋体" w:hAnsi="宋体"/>
          <w:sz w:val="28"/>
          <w:szCs w:val="28"/>
        </w:rPr>
        <w:fldChar w:fldCharType="end"/>
      </w:r>
      <w:r>
        <w:rPr>
          <w:rFonts w:ascii="宋体" w:hAnsi="宋体"/>
          <w:sz w:val="28"/>
          <w:szCs w:val="28"/>
        </w:rPr>
        <w:fldChar w:fldCharType="end"/>
      </w:r>
    </w:p>
    <w:p w14:paraId="1ED710FD">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"_Toc528317012"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规划目标</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_Toc528317012 \h </w:instrText>
      </w:r>
      <w:r>
        <w:rPr>
          <w:rFonts w:ascii="宋体" w:hAnsi="宋体"/>
          <w:sz w:val="28"/>
          <w:szCs w:val="28"/>
        </w:rPr>
        <w:fldChar w:fldCharType="separate"/>
      </w:r>
      <w:r>
        <w:rPr>
          <w:rFonts w:ascii="宋体" w:hAnsi="宋体"/>
          <w:sz w:val="28"/>
          <w:szCs w:val="28"/>
        </w:rPr>
        <w:t>7</w:t>
      </w:r>
      <w:r>
        <w:rPr>
          <w:rFonts w:ascii="宋体" w:hAnsi="宋体"/>
          <w:sz w:val="28"/>
          <w:szCs w:val="28"/>
        </w:rPr>
        <w:fldChar w:fldCharType="end"/>
      </w:r>
      <w:r>
        <w:rPr>
          <w:rFonts w:ascii="宋体" w:hAnsi="宋体"/>
          <w:sz w:val="28"/>
          <w:szCs w:val="28"/>
        </w:rPr>
        <w:fldChar w:fldCharType="end"/>
      </w:r>
    </w:p>
    <w:p w14:paraId="36F2EB78">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"_Toc528317013"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规划重点</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_Toc528317013 \h </w:instrText>
      </w:r>
      <w:r>
        <w:rPr>
          <w:rFonts w:ascii="宋体" w:hAnsi="宋体"/>
          <w:sz w:val="28"/>
          <w:szCs w:val="28"/>
        </w:rPr>
        <w:fldChar w:fldCharType="separate"/>
      </w:r>
      <w:r>
        <w:rPr>
          <w:rFonts w:ascii="宋体" w:hAnsi="宋体"/>
          <w:sz w:val="28"/>
          <w:szCs w:val="28"/>
        </w:rPr>
        <w:t>7</w:t>
      </w:r>
      <w:r>
        <w:rPr>
          <w:rFonts w:ascii="宋体" w:hAnsi="宋体"/>
          <w:sz w:val="28"/>
          <w:szCs w:val="28"/>
        </w:rPr>
        <w:fldChar w:fldCharType="end"/>
      </w:r>
      <w:r>
        <w:rPr>
          <w:rFonts w:ascii="宋体" w:hAnsi="宋体"/>
          <w:sz w:val="28"/>
          <w:szCs w:val="28"/>
        </w:rPr>
        <w:fldChar w:fldCharType="end"/>
      </w:r>
    </w:p>
    <w:p w14:paraId="27284214">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"_Toc528317014" </w:instrText>
      </w:r>
      <w:r>
        <w:fldChar w:fldCharType="separate"/>
      </w:r>
      <w:r>
        <w:rPr>
          <w:rStyle w:val="25"/>
          <w:rFonts w:ascii="宋体" w:hAnsi="宋体"/>
          <w:sz w:val="28"/>
          <w:szCs w:val="28"/>
        </w:rPr>
        <w:t>三、</w:t>
      </w:r>
      <w:r>
        <w:rPr>
          <w:rFonts w:ascii="宋体" w:hAnsi="宋体" w:cstheme="minorBidi"/>
          <w:sz w:val="28"/>
          <w:szCs w:val="28"/>
        </w:rPr>
        <w:tab/>
      </w:r>
      <w:r>
        <w:rPr>
          <w:rStyle w:val="25"/>
          <w:rFonts w:ascii="宋体" w:hAnsi="宋体"/>
          <w:sz w:val="28"/>
          <w:szCs w:val="28"/>
        </w:rPr>
        <w:t>技术路线</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_Toc528317014 \h </w:instrText>
      </w:r>
      <w:r>
        <w:rPr>
          <w:rFonts w:ascii="宋体" w:hAnsi="宋体"/>
          <w:sz w:val="28"/>
          <w:szCs w:val="28"/>
        </w:rPr>
        <w:fldChar w:fldCharType="separate"/>
      </w:r>
      <w:r>
        <w:rPr>
          <w:rFonts w:ascii="宋体" w:hAnsi="宋体"/>
          <w:sz w:val="28"/>
          <w:szCs w:val="28"/>
        </w:rPr>
        <w:t>8</w:t>
      </w:r>
      <w:r>
        <w:rPr>
          <w:rFonts w:ascii="宋体" w:hAnsi="宋体"/>
          <w:sz w:val="28"/>
          <w:szCs w:val="28"/>
        </w:rPr>
        <w:fldChar w:fldCharType="end"/>
      </w:r>
      <w:r>
        <w:rPr>
          <w:rFonts w:ascii="宋体" w:hAnsi="宋体"/>
          <w:sz w:val="28"/>
          <w:szCs w:val="28"/>
        </w:rPr>
        <w:fldChar w:fldCharType="end"/>
      </w:r>
    </w:p>
    <w:p w14:paraId="2528FCED">
      <w:pPr>
        <w:pStyle w:val="16"/>
        <w:tabs>
          <w:tab w:val="right" w:leader="dot" w:pos="8858"/>
        </w:tabs>
        <w:spacing w:line="580" w:lineRule="exact"/>
        <w:rPr>
          <w:rFonts w:ascii="宋体" w:hAnsi="宋体" w:cstheme="minorBidi"/>
          <w:sz w:val="28"/>
          <w:szCs w:val="28"/>
        </w:rPr>
      </w:pPr>
      <w:r>
        <w:fldChar w:fldCharType="begin"/>
      </w:r>
      <w:r>
        <w:instrText xml:space="preserve"> HYPERLINK \l "_Toc528317015" </w:instrText>
      </w:r>
      <w:r>
        <w:fldChar w:fldCharType="separate"/>
      </w:r>
      <w:r>
        <w:rPr>
          <w:rStyle w:val="25"/>
          <w:rFonts w:ascii="宋体" w:hAnsi="宋体"/>
          <w:sz w:val="28"/>
          <w:szCs w:val="28"/>
        </w:rPr>
        <w:t>第三章  总体规模预测</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_Toc528317015 \h </w:instrText>
      </w:r>
      <w:r>
        <w:rPr>
          <w:rFonts w:ascii="宋体" w:hAnsi="宋体"/>
          <w:sz w:val="28"/>
          <w:szCs w:val="28"/>
        </w:rPr>
        <w:fldChar w:fldCharType="separate"/>
      </w:r>
      <w:r>
        <w:rPr>
          <w:rFonts w:ascii="宋体" w:hAnsi="宋体"/>
          <w:sz w:val="28"/>
          <w:szCs w:val="28"/>
        </w:rPr>
        <w:t>9</w:t>
      </w:r>
      <w:r>
        <w:rPr>
          <w:rFonts w:ascii="宋体" w:hAnsi="宋体"/>
          <w:sz w:val="28"/>
          <w:szCs w:val="28"/>
        </w:rPr>
        <w:fldChar w:fldCharType="end"/>
      </w:r>
      <w:r>
        <w:rPr>
          <w:rFonts w:ascii="宋体" w:hAnsi="宋体"/>
          <w:sz w:val="28"/>
          <w:szCs w:val="28"/>
        </w:rPr>
        <w:fldChar w:fldCharType="end"/>
      </w:r>
    </w:p>
    <w:p w14:paraId="1354377C">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"_Toc528317016"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人口规模</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_Toc528317016 \h </w:instrText>
      </w:r>
      <w:r>
        <w:rPr>
          <w:rFonts w:ascii="宋体" w:hAnsi="宋体"/>
          <w:sz w:val="28"/>
          <w:szCs w:val="28"/>
        </w:rPr>
        <w:fldChar w:fldCharType="separate"/>
      </w:r>
      <w:r>
        <w:rPr>
          <w:rFonts w:ascii="宋体" w:hAnsi="宋体"/>
          <w:sz w:val="28"/>
          <w:szCs w:val="28"/>
        </w:rPr>
        <w:t>9</w:t>
      </w:r>
      <w:r>
        <w:rPr>
          <w:rFonts w:ascii="宋体" w:hAnsi="宋体"/>
          <w:sz w:val="28"/>
          <w:szCs w:val="28"/>
        </w:rPr>
        <w:fldChar w:fldCharType="end"/>
      </w:r>
      <w:r>
        <w:rPr>
          <w:rFonts w:ascii="宋体" w:hAnsi="宋体"/>
          <w:sz w:val="28"/>
          <w:szCs w:val="28"/>
        </w:rPr>
        <w:fldChar w:fldCharType="end"/>
      </w:r>
    </w:p>
    <w:p w14:paraId="511EF119">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"_Toc528317017"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人口特征与空间需求</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_Toc528317017 \h </w:instrText>
      </w:r>
      <w:r>
        <w:rPr>
          <w:rFonts w:ascii="宋体" w:hAnsi="宋体"/>
          <w:sz w:val="28"/>
          <w:szCs w:val="28"/>
        </w:rPr>
        <w:fldChar w:fldCharType="separate"/>
      </w:r>
      <w:r>
        <w:rPr>
          <w:rFonts w:ascii="宋体" w:hAnsi="宋体"/>
          <w:sz w:val="28"/>
          <w:szCs w:val="28"/>
        </w:rPr>
        <w:t>9</w:t>
      </w:r>
      <w:r>
        <w:rPr>
          <w:rFonts w:ascii="宋体" w:hAnsi="宋体"/>
          <w:sz w:val="28"/>
          <w:szCs w:val="28"/>
        </w:rPr>
        <w:fldChar w:fldCharType="end"/>
      </w:r>
      <w:r>
        <w:rPr>
          <w:rFonts w:ascii="宋体" w:hAnsi="宋体"/>
          <w:sz w:val="28"/>
          <w:szCs w:val="28"/>
        </w:rPr>
        <w:fldChar w:fldCharType="end"/>
      </w:r>
    </w:p>
    <w:p w14:paraId="096D14E4">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"_Toc528317018" </w:instrText>
      </w:r>
      <w:r>
        <w:fldChar w:fldCharType="separate"/>
      </w:r>
      <w:r>
        <w:rPr>
          <w:rStyle w:val="25"/>
          <w:rFonts w:ascii="宋体" w:hAnsi="宋体"/>
          <w:sz w:val="28"/>
          <w:szCs w:val="28"/>
        </w:rPr>
        <w:t>三、</w:t>
      </w:r>
      <w:r>
        <w:rPr>
          <w:rFonts w:ascii="宋体" w:hAnsi="宋体" w:cstheme="minorBidi"/>
          <w:sz w:val="28"/>
          <w:szCs w:val="28"/>
        </w:rPr>
        <w:tab/>
      </w:r>
      <w:r>
        <w:rPr>
          <w:rStyle w:val="25"/>
          <w:rFonts w:ascii="宋体" w:hAnsi="宋体"/>
          <w:sz w:val="28"/>
          <w:szCs w:val="28"/>
        </w:rPr>
        <w:t>公共服务设施配置标准及规模</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_Toc528317018 \h </w:instrText>
      </w:r>
      <w:r>
        <w:rPr>
          <w:rFonts w:ascii="宋体" w:hAnsi="宋体"/>
          <w:sz w:val="28"/>
          <w:szCs w:val="28"/>
        </w:rPr>
        <w:fldChar w:fldCharType="separate"/>
      </w:r>
      <w:r>
        <w:rPr>
          <w:rFonts w:ascii="宋体" w:hAnsi="宋体"/>
          <w:sz w:val="28"/>
          <w:szCs w:val="28"/>
        </w:rPr>
        <w:t>10</w:t>
      </w:r>
      <w:r>
        <w:rPr>
          <w:rFonts w:ascii="宋体" w:hAnsi="宋体"/>
          <w:sz w:val="28"/>
          <w:szCs w:val="28"/>
        </w:rPr>
        <w:fldChar w:fldCharType="end"/>
      </w:r>
      <w:r>
        <w:rPr>
          <w:rFonts w:ascii="宋体" w:hAnsi="宋体"/>
          <w:sz w:val="28"/>
          <w:szCs w:val="28"/>
        </w:rPr>
        <w:fldChar w:fldCharType="end"/>
      </w:r>
    </w:p>
    <w:p w14:paraId="4DF48028">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"_Toc528317019" </w:instrText>
      </w:r>
      <w:r>
        <w:fldChar w:fldCharType="separate"/>
      </w:r>
      <w:r>
        <w:rPr>
          <w:rStyle w:val="25"/>
          <w:rFonts w:ascii="宋体" w:hAnsi="宋体"/>
          <w:sz w:val="28"/>
          <w:szCs w:val="28"/>
        </w:rPr>
        <w:t>四、</w:t>
      </w:r>
      <w:r>
        <w:rPr>
          <w:rFonts w:ascii="宋体" w:hAnsi="宋体" w:cstheme="minorBidi"/>
          <w:sz w:val="28"/>
          <w:szCs w:val="28"/>
        </w:rPr>
        <w:tab/>
      </w:r>
      <w:r>
        <w:rPr>
          <w:rStyle w:val="25"/>
          <w:rFonts w:ascii="宋体" w:hAnsi="宋体"/>
          <w:sz w:val="28"/>
          <w:szCs w:val="28"/>
        </w:rPr>
        <w:t>总建筑量预测</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_Toc528317019 \h </w:instrText>
      </w:r>
      <w:r>
        <w:rPr>
          <w:rFonts w:ascii="宋体" w:hAnsi="宋体"/>
          <w:sz w:val="28"/>
          <w:szCs w:val="28"/>
        </w:rPr>
        <w:fldChar w:fldCharType="separate"/>
      </w:r>
      <w:r>
        <w:rPr>
          <w:rFonts w:ascii="宋体" w:hAnsi="宋体"/>
          <w:sz w:val="28"/>
          <w:szCs w:val="28"/>
        </w:rPr>
        <w:t>11</w:t>
      </w:r>
      <w:r>
        <w:rPr>
          <w:rFonts w:ascii="宋体" w:hAnsi="宋体"/>
          <w:sz w:val="28"/>
          <w:szCs w:val="28"/>
        </w:rPr>
        <w:fldChar w:fldCharType="end"/>
      </w:r>
      <w:r>
        <w:rPr>
          <w:rFonts w:ascii="宋体" w:hAnsi="宋体"/>
          <w:sz w:val="28"/>
          <w:szCs w:val="28"/>
        </w:rPr>
        <w:fldChar w:fldCharType="end"/>
      </w:r>
    </w:p>
    <w:p w14:paraId="0D5BF085">
      <w:pPr>
        <w:pStyle w:val="16"/>
        <w:tabs>
          <w:tab w:val="right" w:leader="dot" w:pos="8858"/>
        </w:tabs>
        <w:spacing w:line="580" w:lineRule="exact"/>
        <w:rPr>
          <w:rFonts w:ascii="宋体" w:hAnsi="宋体" w:cstheme="minorBidi"/>
          <w:sz w:val="28"/>
          <w:szCs w:val="28"/>
        </w:rPr>
      </w:pPr>
      <w:r>
        <w:fldChar w:fldCharType="begin"/>
      </w:r>
      <w:r>
        <w:instrText xml:space="preserve"> HYPERLINK \l "_Toc528317020" </w:instrText>
      </w:r>
      <w:r>
        <w:fldChar w:fldCharType="separate"/>
      </w:r>
      <w:r>
        <w:rPr>
          <w:rStyle w:val="25"/>
          <w:rFonts w:ascii="宋体" w:hAnsi="宋体"/>
          <w:sz w:val="28"/>
          <w:szCs w:val="28"/>
        </w:rPr>
        <w:t>第四章  用地布局规划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_Toc528317020 \h </w:instrText>
      </w:r>
      <w:r>
        <w:rPr>
          <w:rFonts w:ascii="宋体" w:hAnsi="宋体"/>
          <w:sz w:val="28"/>
          <w:szCs w:val="28"/>
        </w:rPr>
        <w:fldChar w:fldCharType="separate"/>
      </w:r>
      <w:r>
        <w:rPr>
          <w:rFonts w:ascii="宋体" w:hAnsi="宋体"/>
          <w:sz w:val="28"/>
          <w:szCs w:val="28"/>
        </w:rPr>
        <w:t>12</w:t>
      </w:r>
      <w:r>
        <w:rPr>
          <w:rFonts w:ascii="宋体" w:hAnsi="宋体"/>
          <w:sz w:val="28"/>
          <w:szCs w:val="28"/>
        </w:rPr>
        <w:fldChar w:fldCharType="end"/>
      </w:r>
      <w:r>
        <w:rPr>
          <w:rFonts w:ascii="宋体" w:hAnsi="宋体"/>
          <w:sz w:val="28"/>
          <w:szCs w:val="28"/>
        </w:rPr>
        <w:fldChar w:fldCharType="end"/>
      </w:r>
    </w:p>
    <w:p w14:paraId="6C4AEBBF">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"_Toc528317021"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指导思想</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_Toc528317021 \h </w:instrText>
      </w:r>
      <w:r>
        <w:rPr>
          <w:rFonts w:ascii="宋体" w:hAnsi="宋体"/>
          <w:sz w:val="28"/>
          <w:szCs w:val="28"/>
        </w:rPr>
        <w:fldChar w:fldCharType="separate"/>
      </w:r>
      <w:r>
        <w:rPr>
          <w:rFonts w:ascii="宋体" w:hAnsi="宋体"/>
          <w:sz w:val="28"/>
          <w:szCs w:val="28"/>
        </w:rPr>
        <w:t>12</w:t>
      </w:r>
      <w:r>
        <w:rPr>
          <w:rFonts w:ascii="宋体" w:hAnsi="宋体"/>
          <w:sz w:val="28"/>
          <w:szCs w:val="28"/>
        </w:rPr>
        <w:fldChar w:fldCharType="end"/>
      </w:r>
      <w:r>
        <w:rPr>
          <w:rFonts w:ascii="宋体" w:hAnsi="宋体"/>
          <w:sz w:val="28"/>
          <w:szCs w:val="28"/>
        </w:rPr>
        <w:fldChar w:fldCharType="end"/>
      </w:r>
    </w:p>
    <w:p w14:paraId="3E8D115F">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"_Toc528317022"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布局原则</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_Toc528317022 \h </w:instrText>
      </w:r>
      <w:r>
        <w:rPr>
          <w:rFonts w:ascii="宋体" w:hAnsi="宋体"/>
          <w:sz w:val="28"/>
          <w:szCs w:val="28"/>
        </w:rPr>
        <w:fldChar w:fldCharType="separate"/>
      </w:r>
      <w:r>
        <w:rPr>
          <w:rFonts w:ascii="宋体" w:hAnsi="宋体"/>
          <w:sz w:val="28"/>
          <w:szCs w:val="28"/>
        </w:rPr>
        <w:t>12</w:t>
      </w:r>
      <w:r>
        <w:rPr>
          <w:rFonts w:ascii="宋体" w:hAnsi="宋体"/>
          <w:sz w:val="28"/>
          <w:szCs w:val="28"/>
        </w:rPr>
        <w:fldChar w:fldCharType="end"/>
      </w:r>
      <w:r>
        <w:rPr>
          <w:rFonts w:ascii="宋体" w:hAnsi="宋体"/>
          <w:sz w:val="28"/>
          <w:szCs w:val="28"/>
        </w:rPr>
        <w:fldChar w:fldCharType="end"/>
      </w:r>
    </w:p>
    <w:p w14:paraId="40A86FE0">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"_Toc528317023" </w:instrText>
      </w:r>
      <w:r>
        <w:fldChar w:fldCharType="separate"/>
      </w:r>
      <w:r>
        <w:rPr>
          <w:rStyle w:val="25"/>
          <w:rFonts w:ascii="宋体" w:hAnsi="宋体"/>
          <w:sz w:val="28"/>
          <w:szCs w:val="28"/>
        </w:rPr>
        <w:t>三、</w:t>
      </w:r>
      <w:r>
        <w:rPr>
          <w:rFonts w:ascii="宋体" w:hAnsi="宋体" w:cstheme="minorBidi"/>
          <w:sz w:val="28"/>
          <w:szCs w:val="28"/>
        </w:rPr>
        <w:tab/>
      </w:r>
      <w:r>
        <w:rPr>
          <w:rStyle w:val="25"/>
          <w:rFonts w:ascii="宋体" w:hAnsi="宋体"/>
          <w:sz w:val="28"/>
          <w:szCs w:val="28"/>
        </w:rPr>
        <w:t>规划构思</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_Toc528317023 \h </w:instrText>
      </w:r>
      <w:r>
        <w:rPr>
          <w:rFonts w:ascii="宋体" w:hAnsi="宋体"/>
          <w:sz w:val="28"/>
          <w:szCs w:val="28"/>
        </w:rPr>
        <w:fldChar w:fldCharType="separate"/>
      </w:r>
      <w:r>
        <w:rPr>
          <w:rFonts w:ascii="宋体" w:hAnsi="宋体"/>
          <w:sz w:val="28"/>
          <w:szCs w:val="28"/>
        </w:rPr>
        <w:t>13</w:t>
      </w:r>
      <w:r>
        <w:rPr>
          <w:rFonts w:ascii="宋体" w:hAnsi="宋体"/>
          <w:sz w:val="28"/>
          <w:szCs w:val="28"/>
        </w:rPr>
        <w:fldChar w:fldCharType="end"/>
      </w:r>
      <w:r>
        <w:rPr>
          <w:rFonts w:ascii="宋体" w:hAnsi="宋体"/>
          <w:sz w:val="28"/>
          <w:szCs w:val="28"/>
        </w:rPr>
        <w:fldChar w:fldCharType="end"/>
      </w:r>
    </w:p>
    <w:p w14:paraId="02575DE4">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"_Toc528317024" </w:instrText>
      </w:r>
      <w:r>
        <w:fldChar w:fldCharType="separate"/>
      </w:r>
      <w:r>
        <w:rPr>
          <w:rStyle w:val="25"/>
          <w:rFonts w:ascii="宋体" w:hAnsi="宋体"/>
          <w:sz w:val="28"/>
          <w:szCs w:val="28"/>
        </w:rPr>
        <w:t>四、</w:t>
      </w:r>
      <w:r>
        <w:rPr>
          <w:rFonts w:ascii="宋体" w:hAnsi="宋体" w:cstheme="minorBidi"/>
          <w:sz w:val="28"/>
          <w:szCs w:val="28"/>
        </w:rPr>
        <w:tab/>
      </w:r>
      <w:r>
        <w:rPr>
          <w:rStyle w:val="25"/>
          <w:rFonts w:ascii="宋体" w:hAnsi="宋体"/>
          <w:sz w:val="28"/>
          <w:szCs w:val="28"/>
        </w:rPr>
        <w:t>功能定位与发展目标</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_Toc528317024 \h </w:instrText>
      </w:r>
      <w:r>
        <w:rPr>
          <w:rFonts w:ascii="宋体" w:hAnsi="宋体"/>
          <w:sz w:val="28"/>
          <w:szCs w:val="28"/>
        </w:rPr>
        <w:fldChar w:fldCharType="separate"/>
      </w:r>
      <w:r>
        <w:rPr>
          <w:rFonts w:ascii="宋体" w:hAnsi="宋体"/>
          <w:sz w:val="28"/>
          <w:szCs w:val="28"/>
        </w:rPr>
        <w:t>13</w:t>
      </w:r>
      <w:r>
        <w:rPr>
          <w:rFonts w:ascii="宋体" w:hAnsi="宋体"/>
          <w:sz w:val="28"/>
          <w:szCs w:val="28"/>
        </w:rPr>
        <w:fldChar w:fldCharType="end"/>
      </w:r>
      <w:r>
        <w:rPr>
          <w:rFonts w:ascii="宋体" w:hAnsi="宋体"/>
          <w:sz w:val="28"/>
          <w:szCs w:val="28"/>
        </w:rPr>
        <w:fldChar w:fldCharType="end"/>
      </w:r>
    </w:p>
    <w:p w14:paraId="6D8E4BA0">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"_Toc528317025" </w:instrText>
      </w:r>
      <w:r>
        <w:fldChar w:fldCharType="separate"/>
      </w:r>
      <w:r>
        <w:rPr>
          <w:rStyle w:val="25"/>
          <w:rFonts w:ascii="宋体" w:hAnsi="宋体"/>
          <w:sz w:val="28"/>
          <w:szCs w:val="28"/>
        </w:rPr>
        <w:t>五、</w:t>
      </w:r>
      <w:r>
        <w:rPr>
          <w:rFonts w:ascii="宋体" w:hAnsi="宋体" w:cstheme="minorBidi"/>
          <w:sz w:val="28"/>
          <w:szCs w:val="28"/>
        </w:rPr>
        <w:tab/>
      </w:r>
      <w:r>
        <w:rPr>
          <w:rStyle w:val="25"/>
          <w:rFonts w:ascii="宋体" w:hAnsi="宋体"/>
          <w:sz w:val="28"/>
          <w:szCs w:val="28"/>
        </w:rPr>
        <w:t>用地布局</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_Toc528317025 \h </w:instrText>
      </w:r>
      <w:r>
        <w:rPr>
          <w:rFonts w:ascii="宋体" w:hAnsi="宋体"/>
          <w:sz w:val="28"/>
          <w:szCs w:val="28"/>
        </w:rPr>
        <w:fldChar w:fldCharType="separate"/>
      </w:r>
      <w:r>
        <w:rPr>
          <w:rFonts w:ascii="宋体" w:hAnsi="宋体"/>
          <w:sz w:val="28"/>
          <w:szCs w:val="28"/>
        </w:rPr>
        <w:t>15</w:t>
      </w:r>
      <w:r>
        <w:rPr>
          <w:rFonts w:ascii="宋体" w:hAnsi="宋体"/>
          <w:sz w:val="28"/>
          <w:szCs w:val="28"/>
        </w:rPr>
        <w:fldChar w:fldCharType="end"/>
      </w:r>
      <w:r>
        <w:rPr>
          <w:rFonts w:ascii="宋体" w:hAnsi="宋体"/>
          <w:sz w:val="28"/>
          <w:szCs w:val="28"/>
        </w:rPr>
        <w:fldChar w:fldCharType="end"/>
      </w:r>
    </w:p>
    <w:p w14:paraId="24ADFA79">
      <w:pPr>
        <w:pStyle w:val="16"/>
        <w:tabs>
          <w:tab w:val="right" w:leader="dot" w:pos="8858"/>
        </w:tabs>
        <w:spacing w:line="580" w:lineRule="exact"/>
        <w:rPr>
          <w:rFonts w:ascii="宋体" w:hAnsi="宋体" w:cstheme="minorBidi"/>
          <w:sz w:val="28"/>
          <w:szCs w:val="28"/>
        </w:rPr>
      </w:pPr>
      <w:r>
        <w:fldChar w:fldCharType="begin"/>
      </w:r>
      <w:r>
        <w:instrText xml:space="preserve"> HYPERLINK \l "_Toc528317026" </w:instrText>
      </w:r>
      <w:r>
        <w:fldChar w:fldCharType="separate"/>
      </w:r>
      <w:r>
        <w:rPr>
          <w:rStyle w:val="25"/>
          <w:rFonts w:ascii="宋体" w:hAnsi="宋体"/>
          <w:sz w:val="28"/>
          <w:szCs w:val="28"/>
        </w:rPr>
        <w:t>第五章  绿地系统规划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_Toc528317026 \h </w:instrText>
      </w:r>
      <w:r>
        <w:rPr>
          <w:rFonts w:ascii="宋体" w:hAnsi="宋体"/>
          <w:sz w:val="28"/>
          <w:szCs w:val="28"/>
        </w:rPr>
        <w:fldChar w:fldCharType="separate"/>
      </w:r>
      <w:r>
        <w:rPr>
          <w:rFonts w:ascii="宋体" w:hAnsi="宋体"/>
          <w:sz w:val="28"/>
          <w:szCs w:val="28"/>
        </w:rPr>
        <w:t>20</w:t>
      </w:r>
      <w:r>
        <w:rPr>
          <w:rFonts w:ascii="宋体" w:hAnsi="宋体"/>
          <w:sz w:val="28"/>
          <w:szCs w:val="28"/>
        </w:rPr>
        <w:fldChar w:fldCharType="end"/>
      </w:r>
      <w:r>
        <w:rPr>
          <w:rFonts w:ascii="宋体" w:hAnsi="宋体"/>
          <w:sz w:val="28"/>
          <w:szCs w:val="28"/>
        </w:rPr>
        <w:fldChar w:fldCharType="end"/>
      </w:r>
    </w:p>
    <w:p w14:paraId="422E7D8F">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"_Toc528317027"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规划原则</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_Toc528317027 \h </w:instrText>
      </w:r>
      <w:r>
        <w:rPr>
          <w:rFonts w:ascii="宋体" w:hAnsi="宋体"/>
          <w:sz w:val="28"/>
          <w:szCs w:val="28"/>
        </w:rPr>
        <w:fldChar w:fldCharType="separate"/>
      </w:r>
      <w:r>
        <w:rPr>
          <w:rFonts w:ascii="宋体" w:hAnsi="宋体"/>
          <w:sz w:val="28"/>
          <w:szCs w:val="28"/>
        </w:rPr>
        <w:t>20</w:t>
      </w:r>
      <w:r>
        <w:rPr>
          <w:rFonts w:ascii="宋体" w:hAnsi="宋体"/>
          <w:sz w:val="28"/>
          <w:szCs w:val="28"/>
        </w:rPr>
        <w:fldChar w:fldCharType="end"/>
      </w:r>
      <w:r>
        <w:rPr>
          <w:rFonts w:ascii="宋体" w:hAnsi="宋体"/>
          <w:sz w:val="28"/>
          <w:szCs w:val="28"/>
        </w:rPr>
        <w:fldChar w:fldCharType="end"/>
      </w:r>
    </w:p>
    <w:p w14:paraId="1416EA2C">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"_Toc528317028"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绿地系统结构</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_Toc528317028 \h </w:instrText>
      </w:r>
      <w:r>
        <w:rPr>
          <w:rFonts w:ascii="宋体" w:hAnsi="宋体"/>
          <w:sz w:val="28"/>
          <w:szCs w:val="28"/>
        </w:rPr>
        <w:fldChar w:fldCharType="separate"/>
      </w:r>
      <w:r>
        <w:rPr>
          <w:rFonts w:ascii="宋体" w:hAnsi="宋体"/>
          <w:sz w:val="28"/>
          <w:szCs w:val="28"/>
        </w:rPr>
        <w:t>20</w:t>
      </w:r>
      <w:r>
        <w:rPr>
          <w:rFonts w:ascii="宋体" w:hAnsi="宋体"/>
          <w:sz w:val="28"/>
          <w:szCs w:val="28"/>
        </w:rPr>
        <w:fldChar w:fldCharType="end"/>
      </w:r>
      <w:r>
        <w:rPr>
          <w:rFonts w:ascii="宋体" w:hAnsi="宋体"/>
          <w:sz w:val="28"/>
          <w:szCs w:val="28"/>
        </w:rPr>
        <w:fldChar w:fldCharType="end"/>
      </w:r>
    </w:p>
    <w:p w14:paraId="4AEB95A3">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"_Toc528317029" </w:instrText>
      </w:r>
      <w:r>
        <w:fldChar w:fldCharType="separate"/>
      </w:r>
      <w:r>
        <w:rPr>
          <w:rStyle w:val="25"/>
          <w:rFonts w:ascii="宋体" w:hAnsi="宋体"/>
          <w:sz w:val="28"/>
          <w:szCs w:val="28"/>
        </w:rPr>
        <w:t>三、</w:t>
      </w:r>
      <w:r>
        <w:rPr>
          <w:rFonts w:ascii="宋体" w:hAnsi="宋体" w:cstheme="minorBidi"/>
          <w:sz w:val="28"/>
          <w:szCs w:val="28"/>
        </w:rPr>
        <w:tab/>
      </w:r>
      <w:r>
        <w:rPr>
          <w:rStyle w:val="25"/>
          <w:rFonts w:ascii="宋体" w:hAnsi="宋体"/>
          <w:sz w:val="28"/>
          <w:szCs w:val="28"/>
        </w:rPr>
        <w:t>用地布局</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_Toc528317029 \h </w:instrText>
      </w:r>
      <w:r>
        <w:rPr>
          <w:rFonts w:ascii="宋体" w:hAnsi="宋体"/>
          <w:sz w:val="28"/>
          <w:szCs w:val="28"/>
        </w:rPr>
        <w:fldChar w:fldCharType="separate"/>
      </w:r>
      <w:r>
        <w:rPr>
          <w:rFonts w:ascii="宋体" w:hAnsi="宋体"/>
          <w:sz w:val="28"/>
          <w:szCs w:val="28"/>
        </w:rPr>
        <w:t>21</w:t>
      </w:r>
      <w:r>
        <w:rPr>
          <w:rFonts w:ascii="宋体" w:hAnsi="宋体"/>
          <w:sz w:val="28"/>
          <w:szCs w:val="28"/>
        </w:rPr>
        <w:fldChar w:fldCharType="end"/>
      </w:r>
      <w:r>
        <w:rPr>
          <w:rFonts w:ascii="宋体" w:hAnsi="宋体"/>
          <w:sz w:val="28"/>
          <w:szCs w:val="28"/>
        </w:rPr>
        <w:fldChar w:fldCharType="end"/>
      </w:r>
    </w:p>
    <w:p w14:paraId="371EC6F4">
      <w:pPr>
        <w:pStyle w:val="16"/>
        <w:tabs>
          <w:tab w:val="right" w:leader="dot" w:pos="8858"/>
        </w:tabs>
        <w:spacing w:line="580" w:lineRule="exact"/>
        <w:rPr>
          <w:rFonts w:ascii="宋体" w:hAnsi="宋体" w:cstheme="minorBidi"/>
          <w:sz w:val="28"/>
          <w:szCs w:val="28"/>
        </w:rPr>
      </w:pPr>
      <w:r>
        <w:fldChar w:fldCharType="begin"/>
      </w:r>
      <w:r>
        <w:instrText xml:space="preserve"> HYPERLINK \l "_Toc528317030" </w:instrText>
      </w:r>
      <w:r>
        <w:fldChar w:fldCharType="separate"/>
      </w:r>
      <w:r>
        <w:rPr>
          <w:rStyle w:val="25"/>
          <w:rFonts w:ascii="宋体" w:hAnsi="宋体"/>
          <w:sz w:val="28"/>
          <w:szCs w:val="28"/>
        </w:rPr>
        <w:t>第六章  道路交通规划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_Toc528317030 \h </w:instrText>
      </w:r>
      <w:r>
        <w:rPr>
          <w:rFonts w:ascii="宋体" w:hAnsi="宋体"/>
          <w:sz w:val="28"/>
          <w:szCs w:val="28"/>
        </w:rPr>
        <w:fldChar w:fldCharType="separate"/>
      </w:r>
      <w:r>
        <w:rPr>
          <w:rFonts w:ascii="宋体" w:hAnsi="宋体"/>
          <w:sz w:val="28"/>
          <w:szCs w:val="28"/>
        </w:rPr>
        <w:t>24</w:t>
      </w:r>
      <w:r>
        <w:rPr>
          <w:rFonts w:ascii="宋体" w:hAnsi="宋体"/>
          <w:sz w:val="28"/>
          <w:szCs w:val="28"/>
        </w:rPr>
        <w:fldChar w:fldCharType="end"/>
      </w:r>
      <w:r>
        <w:rPr>
          <w:rFonts w:ascii="宋体" w:hAnsi="宋体"/>
          <w:sz w:val="28"/>
          <w:szCs w:val="28"/>
        </w:rPr>
        <w:fldChar w:fldCharType="end"/>
      </w:r>
    </w:p>
    <w:p w14:paraId="769D44E8">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"_Toc528317031"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道路发展策略</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_Toc528317031 \h </w:instrText>
      </w:r>
      <w:r>
        <w:rPr>
          <w:rFonts w:ascii="宋体" w:hAnsi="宋体"/>
          <w:sz w:val="28"/>
          <w:szCs w:val="28"/>
        </w:rPr>
        <w:fldChar w:fldCharType="separate"/>
      </w:r>
      <w:r>
        <w:rPr>
          <w:rFonts w:ascii="宋体" w:hAnsi="宋体"/>
          <w:sz w:val="28"/>
          <w:szCs w:val="28"/>
        </w:rPr>
        <w:t>24</w:t>
      </w:r>
      <w:r>
        <w:rPr>
          <w:rFonts w:ascii="宋体" w:hAnsi="宋体"/>
          <w:sz w:val="28"/>
          <w:szCs w:val="28"/>
        </w:rPr>
        <w:fldChar w:fldCharType="end"/>
      </w:r>
      <w:r>
        <w:rPr>
          <w:rFonts w:ascii="宋体" w:hAnsi="宋体"/>
          <w:sz w:val="28"/>
          <w:szCs w:val="28"/>
        </w:rPr>
        <w:fldChar w:fldCharType="end"/>
      </w:r>
    </w:p>
    <w:p w14:paraId="4B49E8BD">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"_Toc528317032"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道路系统</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_Toc528317032 \h </w:instrText>
      </w:r>
      <w:r>
        <w:rPr>
          <w:rFonts w:ascii="宋体" w:hAnsi="宋体"/>
          <w:sz w:val="28"/>
          <w:szCs w:val="28"/>
        </w:rPr>
        <w:fldChar w:fldCharType="separate"/>
      </w:r>
      <w:r>
        <w:rPr>
          <w:rFonts w:ascii="宋体" w:hAnsi="宋体"/>
          <w:sz w:val="28"/>
          <w:szCs w:val="28"/>
        </w:rPr>
        <w:t>24</w:t>
      </w:r>
      <w:r>
        <w:rPr>
          <w:rFonts w:ascii="宋体" w:hAnsi="宋体"/>
          <w:sz w:val="28"/>
          <w:szCs w:val="28"/>
        </w:rPr>
        <w:fldChar w:fldCharType="end"/>
      </w:r>
      <w:r>
        <w:rPr>
          <w:rFonts w:ascii="宋体" w:hAnsi="宋体"/>
          <w:sz w:val="28"/>
          <w:szCs w:val="28"/>
        </w:rPr>
        <w:fldChar w:fldCharType="end"/>
      </w:r>
    </w:p>
    <w:p w14:paraId="0A207E83">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"_Toc528317033" </w:instrText>
      </w:r>
      <w:r>
        <w:fldChar w:fldCharType="separate"/>
      </w:r>
      <w:r>
        <w:rPr>
          <w:rStyle w:val="25"/>
          <w:rFonts w:ascii="宋体" w:hAnsi="宋体"/>
          <w:sz w:val="28"/>
          <w:szCs w:val="28"/>
        </w:rPr>
        <w:t>三、</w:t>
      </w:r>
      <w:r>
        <w:rPr>
          <w:rFonts w:ascii="宋体" w:hAnsi="宋体" w:cstheme="minorBidi"/>
          <w:sz w:val="28"/>
          <w:szCs w:val="28"/>
        </w:rPr>
        <w:tab/>
      </w:r>
      <w:r>
        <w:rPr>
          <w:rStyle w:val="25"/>
          <w:rFonts w:ascii="宋体" w:hAnsi="宋体"/>
          <w:sz w:val="28"/>
          <w:szCs w:val="28"/>
        </w:rPr>
        <w:t>道路用地</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_Toc528317033 \h </w:instrText>
      </w:r>
      <w:r>
        <w:rPr>
          <w:rFonts w:ascii="宋体" w:hAnsi="宋体"/>
          <w:sz w:val="28"/>
          <w:szCs w:val="28"/>
        </w:rPr>
        <w:fldChar w:fldCharType="separate"/>
      </w:r>
      <w:r>
        <w:rPr>
          <w:rFonts w:ascii="宋体" w:hAnsi="宋体"/>
          <w:sz w:val="28"/>
          <w:szCs w:val="28"/>
        </w:rPr>
        <w:t>27</w:t>
      </w:r>
      <w:r>
        <w:rPr>
          <w:rFonts w:ascii="宋体" w:hAnsi="宋体"/>
          <w:sz w:val="28"/>
          <w:szCs w:val="28"/>
        </w:rPr>
        <w:fldChar w:fldCharType="end"/>
      </w:r>
      <w:r>
        <w:rPr>
          <w:rFonts w:ascii="宋体" w:hAnsi="宋体"/>
          <w:sz w:val="28"/>
          <w:szCs w:val="28"/>
        </w:rPr>
        <w:fldChar w:fldCharType="end"/>
      </w:r>
    </w:p>
    <w:p w14:paraId="29CB12CD">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"_Toc528317034" </w:instrText>
      </w:r>
      <w:r>
        <w:fldChar w:fldCharType="separate"/>
      </w:r>
      <w:r>
        <w:rPr>
          <w:rStyle w:val="25"/>
          <w:rFonts w:ascii="宋体" w:hAnsi="宋体"/>
          <w:sz w:val="28"/>
          <w:szCs w:val="28"/>
        </w:rPr>
        <w:t>四、</w:t>
      </w:r>
      <w:r>
        <w:rPr>
          <w:rFonts w:ascii="宋体" w:hAnsi="宋体" w:cstheme="minorBidi"/>
          <w:sz w:val="28"/>
          <w:szCs w:val="28"/>
        </w:rPr>
        <w:tab/>
      </w:r>
      <w:r>
        <w:rPr>
          <w:rStyle w:val="25"/>
          <w:rFonts w:ascii="宋体" w:hAnsi="宋体"/>
          <w:sz w:val="28"/>
          <w:szCs w:val="28"/>
        </w:rPr>
        <w:t>交通设施</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_Toc528317034 \h </w:instrText>
      </w:r>
      <w:r>
        <w:rPr>
          <w:rFonts w:ascii="宋体" w:hAnsi="宋体"/>
          <w:sz w:val="28"/>
          <w:szCs w:val="28"/>
        </w:rPr>
        <w:fldChar w:fldCharType="separate"/>
      </w:r>
      <w:r>
        <w:rPr>
          <w:rFonts w:ascii="宋体" w:hAnsi="宋体"/>
          <w:sz w:val="28"/>
          <w:szCs w:val="28"/>
        </w:rPr>
        <w:t>27</w:t>
      </w:r>
      <w:r>
        <w:rPr>
          <w:rFonts w:ascii="宋体" w:hAnsi="宋体"/>
          <w:sz w:val="28"/>
          <w:szCs w:val="28"/>
        </w:rPr>
        <w:fldChar w:fldCharType="end"/>
      </w:r>
      <w:r>
        <w:rPr>
          <w:rFonts w:ascii="宋体" w:hAnsi="宋体"/>
          <w:sz w:val="28"/>
          <w:szCs w:val="28"/>
        </w:rPr>
        <w:fldChar w:fldCharType="end"/>
      </w:r>
    </w:p>
    <w:p w14:paraId="3D3101E7">
      <w:pPr>
        <w:pStyle w:val="16"/>
        <w:tabs>
          <w:tab w:val="right" w:leader="dot" w:pos="8858"/>
        </w:tabs>
        <w:spacing w:line="580" w:lineRule="exact"/>
        <w:rPr>
          <w:rFonts w:ascii="宋体" w:hAnsi="宋体" w:cstheme="minorBidi"/>
          <w:sz w:val="28"/>
          <w:szCs w:val="28"/>
        </w:rPr>
      </w:pPr>
      <w:r>
        <w:fldChar w:fldCharType="begin"/>
      </w:r>
      <w:r>
        <w:instrText xml:space="preserve"> HYPERLINK \l "_Toc528317035" </w:instrText>
      </w:r>
      <w:r>
        <w:fldChar w:fldCharType="separate"/>
      </w:r>
      <w:r>
        <w:rPr>
          <w:rStyle w:val="25"/>
          <w:rFonts w:ascii="宋体" w:hAnsi="宋体"/>
          <w:sz w:val="28"/>
          <w:szCs w:val="28"/>
        </w:rPr>
        <w:t>第七章  城市“双修”与城市设计引导</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_Toc528317035 \h </w:instrText>
      </w:r>
      <w:r>
        <w:rPr>
          <w:rFonts w:ascii="宋体" w:hAnsi="宋体"/>
          <w:sz w:val="28"/>
          <w:szCs w:val="28"/>
        </w:rPr>
        <w:fldChar w:fldCharType="separate"/>
      </w:r>
      <w:r>
        <w:rPr>
          <w:rFonts w:ascii="宋体" w:hAnsi="宋体"/>
          <w:sz w:val="28"/>
          <w:szCs w:val="28"/>
        </w:rPr>
        <w:t>28</w:t>
      </w:r>
      <w:r>
        <w:rPr>
          <w:rFonts w:ascii="宋体" w:hAnsi="宋体"/>
          <w:sz w:val="28"/>
          <w:szCs w:val="28"/>
        </w:rPr>
        <w:fldChar w:fldCharType="end"/>
      </w:r>
      <w:r>
        <w:rPr>
          <w:rFonts w:ascii="宋体" w:hAnsi="宋体"/>
          <w:sz w:val="28"/>
          <w:szCs w:val="28"/>
        </w:rPr>
        <w:fldChar w:fldCharType="end"/>
      </w:r>
    </w:p>
    <w:p w14:paraId="45B216E0">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"_Toc528317036"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总体景观风貌</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_Toc528317036 \h </w:instrText>
      </w:r>
      <w:r>
        <w:rPr>
          <w:rFonts w:ascii="宋体" w:hAnsi="宋体"/>
          <w:sz w:val="28"/>
          <w:szCs w:val="28"/>
        </w:rPr>
        <w:fldChar w:fldCharType="separate"/>
      </w:r>
      <w:r>
        <w:rPr>
          <w:rFonts w:ascii="宋体" w:hAnsi="宋体"/>
          <w:sz w:val="28"/>
          <w:szCs w:val="28"/>
        </w:rPr>
        <w:t>28</w:t>
      </w:r>
      <w:r>
        <w:rPr>
          <w:rFonts w:ascii="宋体" w:hAnsi="宋体"/>
          <w:sz w:val="28"/>
          <w:szCs w:val="28"/>
        </w:rPr>
        <w:fldChar w:fldCharType="end"/>
      </w:r>
      <w:r>
        <w:rPr>
          <w:rFonts w:ascii="宋体" w:hAnsi="宋体"/>
          <w:sz w:val="28"/>
          <w:szCs w:val="28"/>
        </w:rPr>
        <w:fldChar w:fldCharType="end"/>
      </w:r>
    </w:p>
    <w:p w14:paraId="13BAA45E">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"_Toc528317037"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街道空间引导</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_Toc528317037 \h </w:instrText>
      </w:r>
      <w:r>
        <w:rPr>
          <w:rFonts w:ascii="宋体" w:hAnsi="宋体"/>
          <w:sz w:val="28"/>
          <w:szCs w:val="28"/>
        </w:rPr>
        <w:fldChar w:fldCharType="separate"/>
      </w:r>
      <w:r>
        <w:rPr>
          <w:rFonts w:ascii="宋体" w:hAnsi="宋体"/>
          <w:sz w:val="28"/>
          <w:szCs w:val="28"/>
        </w:rPr>
        <w:t>30</w:t>
      </w:r>
      <w:r>
        <w:rPr>
          <w:rFonts w:ascii="宋体" w:hAnsi="宋体"/>
          <w:sz w:val="28"/>
          <w:szCs w:val="28"/>
        </w:rPr>
        <w:fldChar w:fldCharType="end"/>
      </w:r>
      <w:r>
        <w:rPr>
          <w:rFonts w:ascii="宋体" w:hAnsi="宋体"/>
          <w:sz w:val="28"/>
          <w:szCs w:val="28"/>
        </w:rPr>
        <w:fldChar w:fldCharType="end"/>
      </w:r>
    </w:p>
    <w:p w14:paraId="375AE405">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"_Toc528317038" </w:instrText>
      </w:r>
      <w:r>
        <w:fldChar w:fldCharType="separate"/>
      </w:r>
      <w:r>
        <w:rPr>
          <w:rStyle w:val="25"/>
          <w:rFonts w:ascii="宋体" w:hAnsi="宋体"/>
          <w:sz w:val="28"/>
          <w:szCs w:val="28"/>
        </w:rPr>
        <w:t>三、</w:t>
      </w:r>
      <w:r>
        <w:rPr>
          <w:rFonts w:ascii="宋体" w:hAnsi="宋体" w:cstheme="minorBidi"/>
          <w:sz w:val="28"/>
          <w:szCs w:val="28"/>
        </w:rPr>
        <w:tab/>
      </w:r>
      <w:r>
        <w:rPr>
          <w:rStyle w:val="25"/>
          <w:rFonts w:ascii="宋体" w:hAnsi="宋体"/>
          <w:sz w:val="28"/>
          <w:szCs w:val="28"/>
        </w:rPr>
        <w:t>建筑设计引导</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_Toc528317038 \h </w:instrText>
      </w:r>
      <w:r>
        <w:rPr>
          <w:rFonts w:ascii="宋体" w:hAnsi="宋体"/>
          <w:sz w:val="28"/>
          <w:szCs w:val="28"/>
        </w:rPr>
        <w:fldChar w:fldCharType="separate"/>
      </w:r>
      <w:r>
        <w:rPr>
          <w:rFonts w:ascii="宋体" w:hAnsi="宋体"/>
          <w:sz w:val="28"/>
          <w:szCs w:val="28"/>
        </w:rPr>
        <w:t>32</w:t>
      </w:r>
      <w:r>
        <w:rPr>
          <w:rFonts w:ascii="宋体" w:hAnsi="宋体"/>
          <w:sz w:val="28"/>
          <w:szCs w:val="28"/>
        </w:rPr>
        <w:fldChar w:fldCharType="end"/>
      </w:r>
      <w:r>
        <w:rPr>
          <w:rFonts w:ascii="宋体" w:hAnsi="宋体"/>
          <w:sz w:val="28"/>
          <w:szCs w:val="28"/>
        </w:rPr>
        <w:fldChar w:fldCharType="end"/>
      </w:r>
    </w:p>
    <w:p w14:paraId="7EF0433E">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"_Toc528317039" </w:instrText>
      </w:r>
      <w:r>
        <w:fldChar w:fldCharType="separate"/>
      </w:r>
      <w:r>
        <w:rPr>
          <w:rStyle w:val="25"/>
          <w:rFonts w:ascii="宋体" w:hAnsi="宋体"/>
          <w:sz w:val="28"/>
          <w:szCs w:val="28"/>
        </w:rPr>
        <w:t>四、</w:t>
      </w:r>
      <w:r>
        <w:rPr>
          <w:rFonts w:ascii="宋体" w:hAnsi="宋体" w:cstheme="minorBidi"/>
          <w:sz w:val="28"/>
          <w:szCs w:val="28"/>
        </w:rPr>
        <w:tab/>
      </w:r>
      <w:r>
        <w:rPr>
          <w:rStyle w:val="25"/>
          <w:rFonts w:ascii="宋体" w:hAnsi="宋体"/>
          <w:sz w:val="28"/>
          <w:szCs w:val="28"/>
        </w:rPr>
        <w:t>空间环境引导</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_Toc528317039 \h </w:instrText>
      </w:r>
      <w:r>
        <w:rPr>
          <w:rFonts w:ascii="宋体" w:hAnsi="宋体"/>
          <w:sz w:val="28"/>
          <w:szCs w:val="28"/>
        </w:rPr>
        <w:fldChar w:fldCharType="separate"/>
      </w:r>
      <w:r>
        <w:rPr>
          <w:rFonts w:ascii="宋体" w:hAnsi="宋体"/>
          <w:sz w:val="28"/>
          <w:szCs w:val="28"/>
        </w:rPr>
        <w:t>33</w:t>
      </w:r>
      <w:r>
        <w:rPr>
          <w:rFonts w:ascii="宋体" w:hAnsi="宋体"/>
          <w:sz w:val="28"/>
          <w:szCs w:val="28"/>
        </w:rPr>
        <w:fldChar w:fldCharType="end"/>
      </w:r>
      <w:r>
        <w:rPr>
          <w:rFonts w:ascii="宋体" w:hAnsi="宋体"/>
          <w:sz w:val="28"/>
          <w:szCs w:val="28"/>
        </w:rPr>
        <w:fldChar w:fldCharType="end"/>
      </w:r>
    </w:p>
    <w:p w14:paraId="6765832F">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"_Toc528317040" </w:instrText>
      </w:r>
      <w:r>
        <w:fldChar w:fldCharType="separate"/>
      </w:r>
      <w:r>
        <w:rPr>
          <w:rStyle w:val="25"/>
          <w:rFonts w:ascii="宋体" w:hAnsi="宋体"/>
          <w:sz w:val="28"/>
          <w:szCs w:val="28"/>
        </w:rPr>
        <w:t>五、</w:t>
      </w:r>
      <w:r>
        <w:rPr>
          <w:rFonts w:ascii="宋体" w:hAnsi="宋体" w:cstheme="minorBidi"/>
          <w:sz w:val="28"/>
          <w:szCs w:val="28"/>
        </w:rPr>
        <w:tab/>
      </w:r>
      <w:r>
        <w:rPr>
          <w:rStyle w:val="25"/>
          <w:rFonts w:ascii="宋体" w:hAnsi="宋体"/>
          <w:sz w:val="28"/>
          <w:szCs w:val="28"/>
        </w:rPr>
        <w:t>历史文化传承</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_Toc528317040 \h </w:instrText>
      </w:r>
      <w:r>
        <w:rPr>
          <w:rFonts w:ascii="宋体" w:hAnsi="宋体"/>
          <w:sz w:val="28"/>
          <w:szCs w:val="28"/>
        </w:rPr>
        <w:fldChar w:fldCharType="separate"/>
      </w:r>
      <w:r>
        <w:rPr>
          <w:rFonts w:ascii="宋体" w:hAnsi="宋体"/>
          <w:sz w:val="28"/>
          <w:szCs w:val="28"/>
        </w:rPr>
        <w:t>34</w:t>
      </w:r>
      <w:r>
        <w:rPr>
          <w:rFonts w:ascii="宋体" w:hAnsi="宋体"/>
          <w:sz w:val="28"/>
          <w:szCs w:val="28"/>
        </w:rPr>
        <w:fldChar w:fldCharType="end"/>
      </w:r>
      <w:r>
        <w:rPr>
          <w:rFonts w:ascii="宋体" w:hAnsi="宋体"/>
          <w:sz w:val="28"/>
          <w:szCs w:val="28"/>
        </w:rPr>
        <w:fldChar w:fldCharType="end"/>
      </w:r>
    </w:p>
    <w:p w14:paraId="7C497CC6">
      <w:pPr>
        <w:pStyle w:val="16"/>
        <w:tabs>
          <w:tab w:val="right" w:leader="dot" w:pos="8858"/>
        </w:tabs>
        <w:spacing w:line="580" w:lineRule="exact"/>
        <w:rPr>
          <w:rFonts w:ascii="宋体" w:hAnsi="宋体" w:cstheme="minorBidi"/>
          <w:sz w:val="28"/>
          <w:szCs w:val="28"/>
        </w:rPr>
      </w:pPr>
      <w:r>
        <w:fldChar w:fldCharType="begin"/>
      </w:r>
      <w:r>
        <w:instrText xml:space="preserve"> HYPERLINK \l "_Toc528317041" </w:instrText>
      </w:r>
      <w:r>
        <w:fldChar w:fldCharType="separate"/>
      </w:r>
      <w:r>
        <w:rPr>
          <w:rStyle w:val="25"/>
          <w:rFonts w:ascii="宋体" w:hAnsi="宋体"/>
          <w:sz w:val="28"/>
          <w:szCs w:val="28"/>
        </w:rPr>
        <w:t>第八章  地下空间与竖向规划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_Toc528317041 \h </w:instrText>
      </w:r>
      <w:r>
        <w:rPr>
          <w:rFonts w:ascii="宋体" w:hAnsi="宋体"/>
          <w:sz w:val="28"/>
          <w:szCs w:val="28"/>
        </w:rPr>
        <w:fldChar w:fldCharType="separate"/>
      </w:r>
      <w:r>
        <w:rPr>
          <w:rFonts w:ascii="宋体" w:hAnsi="宋体"/>
          <w:sz w:val="28"/>
          <w:szCs w:val="28"/>
        </w:rPr>
        <w:t>35</w:t>
      </w:r>
      <w:r>
        <w:rPr>
          <w:rFonts w:ascii="宋体" w:hAnsi="宋体"/>
          <w:sz w:val="28"/>
          <w:szCs w:val="28"/>
        </w:rPr>
        <w:fldChar w:fldCharType="end"/>
      </w:r>
      <w:r>
        <w:rPr>
          <w:rFonts w:ascii="宋体" w:hAnsi="宋体"/>
          <w:sz w:val="28"/>
          <w:szCs w:val="28"/>
        </w:rPr>
        <w:fldChar w:fldCharType="end"/>
      </w:r>
    </w:p>
    <w:p w14:paraId="2ADD3E8F">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"_Toc528317042"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地下空间规划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_Toc528317042 \h </w:instrText>
      </w:r>
      <w:r>
        <w:rPr>
          <w:rFonts w:ascii="宋体" w:hAnsi="宋体"/>
          <w:sz w:val="28"/>
          <w:szCs w:val="28"/>
        </w:rPr>
        <w:fldChar w:fldCharType="separate"/>
      </w:r>
      <w:r>
        <w:rPr>
          <w:rFonts w:ascii="宋体" w:hAnsi="宋体"/>
          <w:sz w:val="28"/>
          <w:szCs w:val="28"/>
        </w:rPr>
        <w:t>35</w:t>
      </w:r>
      <w:r>
        <w:rPr>
          <w:rFonts w:ascii="宋体" w:hAnsi="宋体"/>
          <w:sz w:val="28"/>
          <w:szCs w:val="28"/>
        </w:rPr>
        <w:fldChar w:fldCharType="end"/>
      </w:r>
      <w:r>
        <w:rPr>
          <w:rFonts w:ascii="宋体" w:hAnsi="宋体"/>
          <w:sz w:val="28"/>
          <w:szCs w:val="28"/>
        </w:rPr>
        <w:fldChar w:fldCharType="end"/>
      </w:r>
    </w:p>
    <w:p w14:paraId="32372DEE">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"_Toc528317043"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竖向规划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_Toc528317043 \h </w:instrText>
      </w:r>
      <w:r>
        <w:rPr>
          <w:rFonts w:ascii="宋体" w:hAnsi="宋体"/>
          <w:sz w:val="28"/>
          <w:szCs w:val="28"/>
        </w:rPr>
        <w:fldChar w:fldCharType="separate"/>
      </w:r>
      <w:r>
        <w:rPr>
          <w:rFonts w:ascii="宋体" w:hAnsi="宋体"/>
          <w:sz w:val="28"/>
          <w:szCs w:val="28"/>
        </w:rPr>
        <w:t>35</w:t>
      </w:r>
      <w:r>
        <w:rPr>
          <w:rFonts w:ascii="宋体" w:hAnsi="宋体"/>
          <w:sz w:val="28"/>
          <w:szCs w:val="28"/>
        </w:rPr>
        <w:fldChar w:fldCharType="end"/>
      </w:r>
      <w:r>
        <w:rPr>
          <w:rFonts w:ascii="宋体" w:hAnsi="宋体"/>
          <w:sz w:val="28"/>
          <w:szCs w:val="28"/>
        </w:rPr>
        <w:fldChar w:fldCharType="end"/>
      </w:r>
    </w:p>
    <w:p w14:paraId="2388783F">
      <w:pPr>
        <w:pStyle w:val="16"/>
        <w:tabs>
          <w:tab w:val="right" w:leader="dot" w:pos="8858"/>
        </w:tabs>
        <w:spacing w:line="580" w:lineRule="exact"/>
        <w:rPr>
          <w:rFonts w:ascii="宋体" w:hAnsi="宋体" w:cstheme="minorBidi"/>
          <w:sz w:val="28"/>
          <w:szCs w:val="28"/>
        </w:rPr>
      </w:pPr>
      <w:r>
        <w:fldChar w:fldCharType="begin"/>
      </w:r>
      <w:r>
        <w:instrText xml:space="preserve"> HYPERLINK \l "_Toc528317044" </w:instrText>
      </w:r>
      <w:r>
        <w:fldChar w:fldCharType="separate"/>
      </w:r>
      <w:r>
        <w:rPr>
          <w:rStyle w:val="25"/>
          <w:rFonts w:ascii="宋体" w:hAnsi="宋体"/>
          <w:sz w:val="28"/>
          <w:szCs w:val="28"/>
        </w:rPr>
        <w:t>第九章  市政工程规划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_Toc528317044 \h </w:instrText>
      </w:r>
      <w:r>
        <w:rPr>
          <w:rFonts w:ascii="宋体" w:hAnsi="宋体"/>
          <w:sz w:val="28"/>
          <w:szCs w:val="28"/>
        </w:rPr>
        <w:fldChar w:fldCharType="separate"/>
      </w:r>
      <w:r>
        <w:rPr>
          <w:rFonts w:ascii="宋体" w:hAnsi="宋体"/>
          <w:sz w:val="28"/>
          <w:szCs w:val="28"/>
        </w:rPr>
        <w:t>36</w:t>
      </w:r>
      <w:r>
        <w:rPr>
          <w:rFonts w:ascii="宋体" w:hAnsi="宋体"/>
          <w:sz w:val="28"/>
          <w:szCs w:val="28"/>
        </w:rPr>
        <w:fldChar w:fldCharType="end"/>
      </w:r>
      <w:r>
        <w:rPr>
          <w:rFonts w:ascii="宋体" w:hAnsi="宋体"/>
          <w:sz w:val="28"/>
          <w:szCs w:val="28"/>
        </w:rPr>
        <w:fldChar w:fldCharType="end"/>
      </w:r>
    </w:p>
    <w:p w14:paraId="5E838DE3">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"_Toc528317045"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给水工程规划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_Toc528317045 \h </w:instrText>
      </w:r>
      <w:r>
        <w:rPr>
          <w:rFonts w:ascii="宋体" w:hAnsi="宋体"/>
          <w:sz w:val="28"/>
          <w:szCs w:val="28"/>
        </w:rPr>
        <w:fldChar w:fldCharType="separate"/>
      </w:r>
      <w:r>
        <w:rPr>
          <w:rFonts w:ascii="宋体" w:hAnsi="宋体"/>
          <w:sz w:val="28"/>
          <w:szCs w:val="28"/>
        </w:rPr>
        <w:t>36</w:t>
      </w:r>
      <w:r>
        <w:rPr>
          <w:rFonts w:ascii="宋体" w:hAnsi="宋体"/>
          <w:sz w:val="28"/>
          <w:szCs w:val="28"/>
        </w:rPr>
        <w:fldChar w:fldCharType="end"/>
      </w:r>
      <w:r>
        <w:rPr>
          <w:rFonts w:ascii="宋体" w:hAnsi="宋体"/>
          <w:sz w:val="28"/>
          <w:szCs w:val="28"/>
        </w:rPr>
        <w:fldChar w:fldCharType="end"/>
      </w:r>
    </w:p>
    <w:p w14:paraId="72A743FC">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"_Toc528317046"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污水工程规划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_Toc528317046 \h </w:instrText>
      </w:r>
      <w:r>
        <w:rPr>
          <w:rFonts w:ascii="宋体" w:hAnsi="宋体"/>
          <w:sz w:val="28"/>
          <w:szCs w:val="28"/>
        </w:rPr>
        <w:fldChar w:fldCharType="separate"/>
      </w:r>
      <w:r>
        <w:rPr>
          <w:rFonts w:ascii="宋体" w:hAnsi="宋体"/>
          <w:sz w:val="28"/>
          <w:szCs w:val="28"/>
        </w:rPr>
        <w:t>37</w:t>
      </w:r>
      <w:r>
        <w:rPr>
          <w:rFonts w:ascii="宋体" w:hAnsi="宋体"/>
          <w:sz w:val="28"/>
          <w:szCs w:val="28"/>
        </w:rPr>
        <w:fldChar w:fldCharType="end"/>
      </w:r>
      <w:r>
        <w:rPr>
          <w:rFonts w:ascii="宋体" w:hAnsi="宋体"/>
          <w:sz w:val="28"/>
          <w:szCs w:val="28"/>
        </w:rPr>
        <w:fldChar w:fldCharType="end"/>
      </w:r>
    </w:p>
    <w:p w14:paraId="455606DD">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"_Toc528317047" </w:instrText>
      </w:r>
      <w:r>
        <w:fldChar w:fldCharType="separate"/>
      </w:r>
      <w:r>
        <w:rPr>
          <w:rStyle w:val="25"/>
          <w:rFonts w:ascii="宋体" w:hAnsi="宋体"/>
          <w:sz w:val="28"/>
          <w:szCs w:val="28"/>
        </w:rPr>
        <w:t>三、</w:t>
      </w:r>
      <w:r>
        <w:rPr>
          <w:rFonts w:ascii="宋体" w:hAnsi="宋体" w:cstheme="minorBidi"/>
          <w:sz w:val="28"/>
          <w:szCs w:val="28"/>
        </w:rPr>
        <w:tab/>
      </w:r>
      <w:r>
        <w:rPr>
          <w:rStyle w:val="25"/>
          <w:rFonts w:ascii="宋体" w:hAnsi="宋体"/>
          <w:sz w:val="28"/>
          <w:szCs w:val="28"/>
        </w:rPr>
        <w:t>雨水工程规划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_Toc528317047 \h </w:instrText>
      </w:r>
      <w:r>
        <w:rPr>
          <w:rFonts w:ascii="宋体" w:hAnsi="宋体"/>
          <w:sz w:val="28"/>
          <w:szCs w:val="28"/>
        </w:rPr>
        <w:fldChar w:fldCharType="separate"/>
      </w:r>
      <w:r>
        <w:rPr>
          <w:rFonts w:ascii="宋体" w:hAnsi="宋体"/>
          <w:sz w:val="28"/>
          <w:szCs w:val="28"/>
        </w:rPr>
        <w:t>37</w:t>
      </w:r>
      <w:r>
        <w:rPr>
          <w:rFonts w:ascii="宋体" w:hAnsi="宋体"/>
          <w:sz w:val="28"/>
          <w:szCs w:val="28"/>
        </w:rPr>
        <w:fldChar w:fldCharType="end"/>
      </w:r>
      <w:r>
        <w:rPr>
          <w:rFonts w:ascii="宋体" w:hAnsi="宋体"/>
          <w:sz w:val="28"/>
          <w:szCs w:val="28"/>
        </w:rPr>
        <w:fldChar w:fldCharType="end"/>
      </w:r>
    </w:p>
    <w:p w14:paraId="3897D5FD">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"_Toc528317048" </w:instrText>
      </w:r>
      <w:r>
        <w:fldChar w:fldCharType="separate"/>
      </w:r>
      <w:r>
        <w:rPr>
          <w:rStyle w:val="25"/>
          <w:rFonts w:ascii="宋体" w:hAnsi="宋体"/>
          <w:sz w:val="28"/>
          <w:szCs w:val="28"/>
        </w:rPr>
        <w:t>四、</w:t>
      </w:r>
      <w:r>
        <w:rPr>
          <w:rFonts w:ascii="宋体" w:hAnsi="宋体" w:cstheme="minorBidi"/>
          <w:sz w:val="28"/>
          <w:szCs w:val="28"/>
        </w:rPr>
        <w:tab/>
      </w:r>
      <w:r>
        <w:rPr>
          <w:rStyle w:val="25"/>
          <w:rFonts w:ascii="宋体" w:hAnsi="宋体"/>
          <w:sz w:val="28"/>
          <w:szCs w:val="28"/>
        </w:rPr>
        <w:t>中水工程规划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_Toc528317048 \h </w:instrText>
      </w:r>
      <w:r>
        <w:rPr>
          <w:rFonts w:ascii="宋体" w:hAnsi="宋体"/>
          <w:sz w:val="28"/>
          <w:szCs w:val="28"/>
        </w:rPr>
        <w:fldChar w:fldCharType="separate"/>
      </w:r>
      <w:r>
        <w:rPr>
          <w:rFonts w:ascii="宋体" w:hAnsi="宋体"/>
          <w:sz w:val="28"/>
          <w:szCs w:val="28"/>
        </w:rPr>
        <w:t>38</w:t>
      </w:r>
      <w:r>
        <w:rPr>
          <w:rFonts w:ascii="宋体" w:hAnsi="宋体"/>
          <w:sz w:val="28"/>
          <w:szCs w:val="28"/>
        </w:rPr>
        <w:fldChar w:fldCharType="end"/>
      </w:r>
      <w:r>
        <w:rPr>
          <w:rFonts w:ascii="宋体" w:hAnsi="宋体"/>
          <w:sz w:val="28"/>
          <w:szCs w:val="28"/>
        </w:rPr>
        <w:fldChar w:fldCharType="end"/>
      </w:r>
    </w:p>
    <w:p w14:paraId="41DD4FF3">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"_Toc528317049" </w:instrText>
      </w:r>
      <w:r>
        <w:fldChar w:fldCharType="separate"/>
      </w:r>
      <w:r>
        <w:rPr>
          <w:rStyle w:val="25"/>
          <w:rFonts w:ascii="宋体" w:hAnsi="宋体"/>
          <w:sz w:val="28"/>
          <w:szCs w:val="28"/>
        </w:rPr>
        <w:t>五、</w:t>
      </w:r>
      <w:r>
        <w:rPr>
          <w:rFonts w:ascii="宋体" w:hAnsi="宋体" w:cstheme="minorBidi"/>
          <w:sz w:val="28"/>
          <w:szCs w:val="28"/>
        </w:rPr>
        <w:tab/>
      </w:r>
      <w:r>
        <w:rPr>
          <w:rStyle w:val="25"/>
          <w:rFonts w:ascii="宋体" w:hAnsi="宋体"/>
          <w:sz w:val="28"/>
          <w:szCs w:val="28"/>
        </w:rPr>
        <w:t>燃气工程规划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_Toc528317049 \h </w:instrText>
      </w:r>
      <w:r>
        <w:rPr>
          <w:rFonts w:ascii="宋体" w:hAnsi="宋体"/>
          <w:sz w:val="28"/>
          <w:szCs w:val="28"/>
        </w:rPr>
        <w:fldChar w:fldCharType="separate"/>
      </w:r>
      <w:r>
        <w:rPr>
          <w:rFonts w:ascii="宋体" w:hAnsi="宋体"/>
          <w:sz w:val="28"/>
          <w:szCs w:val="28"/>
        </w:rPr>
        <w:t>39</w:t>
      </w:r>
      <w:r>
        <w:rPr>
          <w:rFonts w:ascii="宋体" w:hAnsi="宋体"/>
          <w:sz w:val="28"/>
          <w:szCs w:val="28"/>
        </w:rPr>
        <w:fldChar w:fldCharType="end"/>
      </w:r>
      <w:r>
        <w:rPr>
          <w:rFonts w:ascii="宋体" w:hAnsi="宋体"/>
          <w:sz w:val="28"/>
          <w:szCs w:val="28"/>
        </w:rPr>
        <w:fldChar w:fldCharType="end"/>
      </w:r>
    </w:p>
    <w:p w14:paraId="0570B25A">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"_Toc528317050" </w:instrText>
      </w:r>
      <w:r>
        <w:fldChar w:fldCharType="separate"/>
      </w:r>
      <w:r>
        <w:rPr>
          <w:rStyle w:val="25"/>
          <w:rFonts w:ascii="宋体" w:hAnsi="宋体"/>
          <w:sz w:val="28"/>
          <w:szCs w:val="28"/>
        </w:rPr>
        <w:t>六、</w:t>
      </w:r>
      <w:r>
        <w:rPr>
          <w:rFonts w:ascii="宋体" w:hAnsi="宋体" w:cstheme="minorBidi"/>
          <w:sz w:val="28"/>
          <w:szCs w:val="28"/>
        </w:rPr>
        <w:tab/>
      </w:r>
      <w:r>
        <w:rPr>
          <w:rStyle w:val="25"/>
          <w:rFonts w:ascii="宋体" w:hAnsi="宋体"/>
          <w:sz w:val="28"/>
          <w:szCs w:val="28"/>
        </w:rPr>
        <w:t>供热工程规划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_Toc528317050 \h </w:instrText>
      </w:r>
      <w:r>
        <w:rPr>
          <w:rFonts w:ascii="宋体" w:hAnsi="宋体"/>
          <w:sz w:val="28"/>
          <w:szCs w:val="28"/>
        </w:rPr>
        <w:fldChar w:fldCharType="separate"/>
      </w:r>
      <w:r>
        <w:rPr>
          <w:rFonts w:ascii="宋体" w:hAnsi="宋体"/>
          <w:sz w:val="28"/>
          <w:szCs w:val="28"/>
        </w:rPr>
        <w:t>39</w:t>
      </w:r>
      <w:r>
        <w:rPr>
          <w:rFonts w:ascii="宋体" w:hAnsi="宋体"/>
          <w:sz w:val="28"/>
          <w:szCs w:val="28"/>
        </w:rPr>
        <w:fldChar w:fldCharType="end"/>
      </w:r>
      <w:r>
        <w:rPr>
          <w:rFonts w:ascii="宋体" w:hAnsi="宋体"/>
          <w:sz w:val="28"/>
          <w:szCs w:val="28"/>
        </w:rPr>
        <w:fldChar w:fldCharType="end"/>
      </w:r>
    </w:p>
    <w:p w14:paraId="5CDC6A78">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"_Toc528317051" </w:instrText>
      </w:r>
      <w:r>
        <w:fldChar w:fldCharType="separate"/>
      </w:r>
      <w:r>
        <w:rPr>
          <w:rStyle w:val="25"/>
          <w:rFonts w:ascii="宋体" w:hAnsi="宋体"/>
          <w:sz w:val="28"/>
          <w:szCs w:val="28"/>
        </w:rPr>
        <w:t>七、</w:t>
      </w:r>
      <w:r>
        <w:rPr>
          <w:rFonts w:ascii="宋体" w:hAnsi="宋体" w:cstheme="minorBidi"/>
          <w:sz w:val="28"/>
          <w:szCs w:val="28"/>
        </w:rPr>
        <w:tab/>
      </w:r>
      <w:r>
        <w:rPr>
          <w:rStyle w:val="25"/>
          <w:rFonts w:ascii="宋体" w:hAnsi="宋体"/>
          <w:sz w:val="28"/>
          <w:szCs w:val="28"/>
        </w:rPr>
        <w:t>供电工程规划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_Toc528317051 \h </w:instrText>
      </w:r>
      <w:r>
        <w:rPr>
          <w:rFonts w:ascii="宋体" w:hAnsi="宋体"/>
          <w:sz w:val="28"/>
          <w:szCs w:val="28"/>
        </w:rPr>
        <w:fldChar w:fldCharType="separate"/>
      </w:r>
      <w:r>
        <w:rPr>
          <w:rFonts w:ascii="宋体" w:hAnsi="宋体"/>
          <w:sz w:val="28"/>
          <w:szCs w:val="28"/>
        </w:rPr>
        <w:t>40</w:t>
      </w:r>
      <w:r>
        <w:rPr>
          <w:rFonts w:ascii="宋体" w:hAnsi="宋体"/>
          <w:sz w:val="28"/>
          <w:szCs w:val="28"/>
        </w:rPr>
        <w:fldChar w:fldCharType="end"/>
      </w:r>
      <w:r>
        <w:rPr>
          <w:rFonts w:ascii="宋体" w:hAnsi="宋体"/>
          <w:sz w:val="28"/>
          <w:szCs w:val="28"/>
        </w:rPr>
        <w:fldChar w:fldCharType="end"/>
      </w:r>
    </w:p>
    <w:p w14:paraId="38062ACE">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"_Toc528317052" </w:instrText>
      </w:r>
      <w:r>
        <w:fldChar w:fldCharType="separate"/>
      </w:r>
      <w:r>
        <w:rPr>
          <w:rStyle w:val="25"/>
          <w:rFonts w:ascii="宋体" w:hAnsi="宋体"/>
          <w:sz w:val="28"/>
          <w:szCs w:val="28"/>
        </w:rPr>
        <w:t>八、</w:t>
      </w:r>
      <w:r>
        <w:rPr>
          <w:rFonts w:ascii="宋体" w:hAnsi="宋体" w:cstheme="minorBidi"/>
          <w:sz w:val="28"/>
          <w:szCs w:val="28"/>
        </w:rPr>
        <w:tab/>
      </w:r>
      <w:r>
        <w:rPr>
          <w:rStyle w:val="25"/>
          <w:rFonts w:ascii="宋体" w:hAnsi="宋体"/>
          <w:sz w:val="28"/>
          <w:szCs w:val="28"/>
        </w:rPr>
        <w:t>电信工程规划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_Toc528317052 \h </w:instrText>
      </w:r>
      <w:r>
        <w:rPr>
          <w:rFonts w:ascii="宋体" w:hAnsi="宋体"/>
          <w:sz w:val="28"/>
          <w:szCs w:val="28"/>
        </w:rPr>
        <w:fldChar w:fldCharType="separate"/>
      </w:r>
      <w:r>
        <w:rPr>
          <w:rFonts w:ascii="宋体" w:hAnsi="宋体"/>
          <w:sz w:val="28"/>
          <w:szCs w:val="28"/>
        </w:rPr>
        <w:t>41</w:t>
      </w:r>
      <w:r>
        <w:rPr>
          <w:rFonts w:ascii="宋体" w:hAnsi="宋体"/>
          <w:sz w:val="28"/>
          <w:szCs w:val="28"/>
        </w:rPr>
        <w:fldChar w:fldCharType="end"/>
      </w:r>
      <w:r>
        <w:rPr>
          <w:rFonts w:ascii="宋体" w:hAnsi="宋体"/>
          <w:sz w:val="28"/>
          <w:szCs w:val="28"/>
        </w:rPr>
        <w:fldChar w:fldCharType="end"/>
      </w:r>
    </w:p>
    <w:p w14:paraId="6D8E5ECD">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"_Toc528317053" </w:instrText>
      </w:r>
      <w:r>
        <w:fldChar w:fldCharType="separate"/>
      </w:r>
      <w:r>
        <w:rPr>
          <w:rStyle w:val="25"/>
          <w:rFonts w:ascii="宋体" w:hAnsi="宋体"/>
          <w:sz w:val="28"/>
          <w:szCs w:val="28"/>
        </w:rPr>
        <w:t>九、</w:t>
      </w:r>
      <w:r>
        <w:rPr>
          <w:rFonts w:ascii="宋体" w:hAnsi="宋体" w:cstheme="minorBidi"/>
          <w:sz w:val="28"/>
          <w:szCs w:val="28"/>
        </w:rPr>
        <w:tab/>
      </w:r>
      <w:r>
        <w:rPr>
          <w:rStyle w:val="25"/>
          <w:rFonts w:ascii="宋体" w:hAnsi="宋体"/>
          <w:sz w:val="28"/>
          <w:szCs w:val="28"/>
        </w:rPr>
        <w:t>环境卫生规划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_Toc528317053 \h </w:instrText>
      </w:r>
      <w:r>
        <w:rPr>
          <w:rFonts w:ascii="宋体" w:hAnsi="宋体"/>
          <w:sz w:val="28"/>
          <w:szCs w:val="28"/>
        </w:rPr>
        <w:fldChar w:fldCharType="separate"/>
      </w:r>
      <w:r>
        <w:rPr>
          <w:rFonts w:ascii="宋体" w:hAnsi="宋体"/>
          <w:sz w:val="28"/>
          <w:szCs w:val="28"/>
        </w:rPr>
        <w:t>41</w:t>
      </w:r>
      <w:r>
        <w:rPr>
          <w:rFonts w:ascii="宋体" w:hAnsi="宋体"/>
          <w:sz w:val="28"/>
          <w:szCs w:val="28"/>
        </w:rPr>
        <w:fldChar w:fldCharType="end"/>
      </w:r>
      <w:r>
        <w:rPr>
          <w:rFonts w:ascii="宋体" w:hAnsi="宋体"/>
          <w:sz w:val="28"/>
          <w:szCs w:val="28"/>
        </w:rPr>
        <w:fldChar w:fldCharType="end"/>
      </w:r>
    </w:p>
    <w:p w14:paraId="4326FD60">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"_Toc528317054" </w:instrText>
      </w:r>
      <w:r>
        <w:fldChar w:fldCharType="separate"/>
      </w:r>
      <w:r>
        <w:rPr>
          <w:rStyle w:val="25"/>
          <w:rFonts w:ascii="宋体" w:hAnsi="宋体"/>
          <w:sz w:val="28"/>
          <w:szCs w:val="28"/>
        </w:rPr>
        <w:t>十、</w:t>
      </w:r>
      <w:r>
        <w:rPr>
          <w:rFonts w:ascii="宋体" w:hAnsi="宋体" w:cstheme="minorBidi"/>
          <w:sz w:val="28"/>
          <w:szCs w:val="28"/>
        </w:rPr>
        <w:tab/>
      </w:r>
      <w:r>
        <w:rPr>
          <w:rStyle w:val="25"/>
          <w:rFonts w:ascii="宋体" w:hAnsi="宋体"/>
          <w:sz w:val="28"/>
          <w:szCs w:val="28"/>
        </w:rPr>
        <w:t>环境保护规划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_Toc528317054 \h </w:instrText>
      </w:r>
      <w:r>
        <w:rPr>
          <w:rFonts w:ascii="宋体" w:hAnsi="宋体"/>
          <w:sz w:val="28"/>
          <w:szCs w:val="28"/>
        </w:rPr>
        <w:fldChar w:fldCharType="separate"/>
      </w:r>
      <w:r>
        <w:rPr>
          <w:rFonts w:ascii="宋体" w:hAnsi="宋体"/>
          <w:sz w:val="28"/>
          <w:szCs w:val="28"/>
        </w:rPr>
        <w:t>43</w:t>
      </w:r>
      <w:r>
        <w:rPr>
          <w:rFonts w:ascii="宋体" w:hAnsi="宋体"/>
          <w:sz w:val="28"/>
          <w:szCs w:val="28"/>
        </w:rPr>
        <w:fldChar w:fldCharType="end"/>
      </w:r>
      <w:r>
        <w:rPr>
          <w:rFonts w:ascii="宋体" w:hAnsi="宋体"/>
          <w:sz w:val="28"/>
          <w:szCs w:val="28"/>
        </w:rPr>
        <w:fldChar w:fldCharType="end"/>
      </w:r>
    </w:p>
    <w:p w14:paraId="5312C7BF">
      <w:pPr>
        <w:pStyle w:val="10"/>
        <w:tabs>
          <w:tab w:val="left" w:pos="1682"/>
          <w:tab w:val="right" w:leader="dot" w:pos="8858"/>
        </w:tabs>
        <w:spacing w:line="580" w:lineRule="exact"/>
        <w:rPr>
          <w:rFonts w:ascii="宋体" w:hAnsi="宋体" w:cstheme="minorBidi"/>
          <w:sz w:val="28"/>
          <w:szCs w:val="28"/>
        </w:rPr>
      </w:pPr>
      <w:r>
        <w:fldChar w:fldCharType="begin"/>
      </w:r>
      <w:r>
        <w:instrText xml:space="preserve"> HYPERLINK \l "_Toc528317055" </w:instrText>
      </w:r>
      <w:r>
        <w:fldChar w:fldCharType="separate"/>
      </w:r>
      <w:r>
        <w:rPr>
          <w:rStyle w:val="25"/>
          <w:rFonts w:ascii="宋体" w:hAnsi="宋体"/>
          <w:sz w:val="28"/>
          <w:szCs w:val="28"/>
        </w:rPr>
        <w:t>十一、</w:t>
      </w:r>
      <w:r>
        <w:rPr>
          <w:rFonts w:ascii="宋体" w:hAnsi="宋体" w:cstheme="minorBidi"/>
          <w:sz w:val="28"/>
          <w:szCs w:val="28"/>
        </w:rPr>
        <w:tab/>
      </w:r>
      <w:r>
        <w:rPr>
          <w:rStyle w:val="25"/>
          <w:rFonts w:ascii="宋体" w:hAnsi="宋体"/>
          <w:sz w:val="28"/>
          <w:szCs w:val="28"/>
        </w:rPr>
        <w:t>综合防灾规划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_Toc528317055 \h </w:instrText>
      </w:r>
      <w:r>
        <w:rPr>
          <w:rFonts w:ascii="宋体" w:hAnsi="宋体"/>
          <w:sz w:val="28"/>
          <w:szCs w:val="28"/>
        </w:rPr>
        <w:fldChar w:fldCharType="separate"/>
      </w:r>
      <w:r>
        <w:rPr>
          <w:rFonts w:ascii="宋体" w:hAnsi="宋体"/>
          <w:sz w:val="28"/>
          <w:szCs w:val="28"/>
        </w:rPr>
        <w:t>44</w:t>
      </w:r>
      <w:r>
        <w:rPr>
          <w:rFonts w:ascii="宋体" w:hAnsi="宋体"/>
          <w:sz w:val="28"/>
          <w:szCs w:val="28"/>
        </w:rPr>
        <w:fldChar w:fldCharType="end"/>
      </w:r>
      <w:r>
        <w:rPr>
          <w:rFonts w:ascii="宋体" w:hAnsi="宋体"/>
          <w:sz w:val="28"/>
          <w:szCs w:val="28"/>
        </w:rPr>
        <w:fldChar w:fldCharType="end"/>
      </w:r>
    </w:p>
    <w:p w14:paraId="148A0C43">
      <w:pPr>
        <w:pStyle w:val="10"/>
        <w:tabs>
          <w:tab w:val="left" w:pos="1682"/>
          <w:tab w:val="right" w:leader="dot" w:pos="8858"/>
        </w:tabs>
        <w:spacing w:line="580" w:lineRule="exact"/>
        <w:rPr>
          <w:rFonts w:ascii="宋体" w:hAnsi="宋体" w:cstheme="minorBidi"/>
          <w:sz w:val="28"/>
          <w:szCs w:val="28"/>
        </w:rPr>
      </w:pPr>
      <w:r>
        <w:fldChar w:fldCharType="begin"/>
      </w:r>
      <w:r>
        <w:instrText xml:space="preserve"> HYPERLINK \l "_Toc528317056" </w:instrText>
      </w:r>
      <w:r>
        <w:fldChar w:fldCharType="separate"/>
      </w:r>
      <w:r>
        <w:rPr>
          <w:rStyle w:val="25"/>
          <w:rFonts w:ascii="宋体" w:hAnsi="宋体"/>
          <w:sz w:val="28"/>
          <w:szCs w:val="28"/>
        </w:rPr>
        <w:t>十二、</w:t>
      </w:r>
      <w:r>
        <w:rPr>
          <w:rFonts w:ascii="宋体" w:hAnsi="宋体" w:cstheme="minorBidi"/>
          <w:sz w:val="28"/>
          <w:szCs w:val="28"/>
        </w:rPr>
        <w:tab/>
      </w:r>
      <w:r>
        <w:rPr>
          <w:rStyle w:val="25"/>
          <w:rFonts w:ascii="宋体" w:hAnsi="宋体"/>
          <w:sz w:val="28"/>
          <w:szCs w:val="28"/>
        </w:rPr>
        <w:t>管线综合规划</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_Toc528317056 \h </w:instrText>
      </w:r>
      <w:r>
        <w:rPr>
          <w:rFonts w:ascii="宋体" w:hAnsi="宋体"/>
          <w:sz w:val="28"/>
          <w:szCs w:val="28"/>
        </w:rPr>
        <w:fldChar w:fldCharType="separate"/>
      </w:r>
      <w:r>
        <w:rPr>
          <w:rFonts w:ascii="宋体" w:hAnsi="宋体"/>
          <w:sz w:val="28"/>
          <w:szCs w:val="28"/>
        </w:rPr>
        <w:t>46</w:t>
      </w:r>
      <w:r>
        <w:rPr>
          <w:rFonts w:ascii="宋体" w:hAnsi="宋体"/>
          <w:sz w:val="28"/>
          <w:szCs w:val="28"/>
        </w:rPr>
        <w:fldChar w:fldCharType="end"/>
      </w:r>
      <w:r>
        <w:rPr>
          <w:rFonts w:ascii="宋体" w:hAnsi="宋体"/>
          <w:sz w:val="28"/>
          <w:szCs w:val="28"/>
        </w:rPr>
        <w:fldChar w:fldCharType="end"/>
      </w:r>
    </w:p>
    <w:p w14:paraId="4F6853B1">
      <w:pPr>
        <w:pStyle w:val="16"/>
        <w:tabs>
          <w:tab w:val="right" w:leader="dot" w:pos="8858"/>
        </w:tabs>
        <w:spacing w:line="580" w:lineRule="exact"/>
        <w:rPr>
          <w:rFonts w:ascii="宋体" w:hAnsi="宋体" w:cstheme="minorBidi"/>
          <w:sz w:val="28"/>
          <w:szCs w:val="28"/>
        </w:rPr>
      </w:pPr>
      <w:r>
        <w:fldChar w:fldCharType="begin"/>
      </w:r>
      <w:r>
        <w:instrText xml:space="preserve"> HYPERLINK \l "_Toc528317057" </w:instrText>
      </w:r>
      <w:r>
        <w:fldChar w:fldCharType="separate"/>
      </w:r>
      <w:r>
        <w:rPr>
          <w:rStyle w:val="25"/>
          <w:rFonts w:ascii="宋体" w:hAnsi="宋体"/>
          <w:sz w:val="28"/>
          <w:szCs w:val="28"/>
        </w:rPr>
        <w:t>第十章  生态、低碳、智慧设施建设</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_Toc528317057 \h </w:instrText>
      </w:r>
      <w:r>
        <w:rPr>
          <w:rFonts w:ascii="宋体" w:hAnsi="宋体"/>
          <w:sz w:val="28"/>
          <w:szCs w:val="28"/>
        </w:rPr>
        <w:fldChar w:fldCharType="separate"/>
      </w:r>
      <w:r>
        <w:rPr>
          <w:rFonts w:ascii="宋体" w:hAnsi="宋体"/>
          <w:sz w:val="28"/>
          <w:szCs w:val="28"/>
        </w:rPr>
        <w:t>47</w:t>
      </w:r>
      <w:r>
        <w:rPr>
          <w:rFonts w:ascii="宋体" w:hAnsi="宋体"/>
          <w:sz w:val="28"/>
          <w:szCs w:val="28"/>
        </w:rPr>
        <w:fldChar w:fldCharType="end"/>
      </w:r>
      <w:r>
        <w:rPr>
          <w:rFonts w:ascii="宋体" w:hAnsi="宋体"/>
          <w:sz w:val="28"/>
          <w:szCs w:val="28"/>
        </w:rPr>
        <w:fldChar w:fldCharType="end"/>
      </w:r>
    </w:p>
    <w:p w14:paraId="658A50A7">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"_Toc528317058"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低碳生态建设</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_Toc528317058 \h </w:instrText>
      </w:r>
      <w:r>
        <w:rPr>
          <w:rFonts w:ascii="宋体" w:hAnsi="宋体"/>
          <w:sz w:val="28"/>
          <w:szCs w:val="28"/>
        </w:rPr>
        <w:fldChar w:fldCharType="separate"/>
      </w:r>
      <w:r>
        <w:rPr>
          <w:rFonts w:ascii="宋体" w:hAnsi="宋体"/>
          <w:sz w:val="28"/>
          <w:szCs w:val="28"/>
        </w:rPr>
        <w:t>47</w:t>
      </w:r>
      <w:r>
        <w:rPr>
          <w:rFonts w:ascii="宋体" w:hAnsi="宋体"/>
          <w:sz w:val="28"/>
          <w:szCs w:val="28"/>
        </w:rPr>
        <w:fldChar w:fldCharType="end"/>
      </w:r>
      <w:r>
        <w:rPr>
          <w:rFonts w:ascii="宋体" w:hAnsi="宋体"/>
          <w:sz w:val="28"/>
          <w:szCs w:val="28"/>
        </w:rPr>
        <w:fldChar w:fldCharType="end"/>
      </w:r>
    </w:p>
    <w:p w14:paraId="5257EF4C">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"_Toc528317059"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海绵城市建设</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_Toc528317059 \h </w:instrText>
      </w:r>
      <w:r>
        <w:rPr>
          <w:rFonts w:ascii="宋体" w:hAnsi="宋体"/>
          <w:sz w:val="28"/>
          <w:szCs w:val="28"/>
        </w:rPr>
        <w:fldChar w:fldCharType="separate"/>
      </w:r>
      <w:r>
        <w:rPr>
          <w:rFonts w:ascii="宋体" w:hAnsi="宋体"/>
          <w:sz w:val="28"/>
          <w:szCs w:val="28"/>
        </w:rPr>
        <w:t>47</w:t>
      </w:r>
      <w:r>
        <w:rPr>
          <w:rFonts w:ascii="宋体" w:hAnsi="宋体"/>
          <w:sz w:val="28"/>
          <w:szCs w:val="28"/>
        </w:rPr>
        <w:fldChar w:fldCharType="end"/>
      </w:r>
      <w:r>
        <w:rPr>
          <w:rFonts w:ascii="宋体" w:hAnsi="宋体"/>
          <w:sz w:val="28"/>
          <w:szCs w:val="28"/>
        </w:rPr>
        <w:fldChar w:fldCharType="end"/>
      </w:r>
    </w:p>
    <w:p w14:paraId="65F2BDFB">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"_Toc528317060" </w:instrText>
      </w:r>
      <w:r>
        <w:fldChar w:fldCharType="separate"/>
      </w:r>
      <w:r>
        <w:rPr>
          <w:rStyle w:val="25"/>
          <w:rFonts w:ascii="宋体" w:hAnsi="宋体"/>
          <w:sz w:val="28"/>
          <w:szCs w:val="28"/>
        </w:rPr>
        <w:t>三、</w:t>
      </w:r>
      <w:r>
        <w:rPr>
          <w:rFonts w:ascii="宋体" w:hAnsi="宋体" w:cstheme="minorBidi"/>
          <w:sz w:val="28"/>
          <w:szCs w:val="28"/>
        </w:rPr>
        <w:tab/>
      </w:r>
      <w:r>
        <w:rPr>
          <w:rStyle w:val="25"/>
          <w:rFonts w:ascii="宋体" w:hAnsi="宋体"/>
          <w:sz w:val="28"/>
          <w:szCs w:val="28"/>
        </w:rPr>
        <w:t>智慧城市建设</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_Toc528317060 \h </w:instrText>
      </w:r>
      <w:r>
        <w:rPr>
          <w:rFonts w:ascii="宋体" w:hAnsi="宋体"/>
          <w:sz w:val="28"/>
          <w:szCs w:val="28"/>
        </w:rPr>
        <w:fldChar w:fldCharType="separate"/>
      </w:r>
      <w:r>
        <w:rPr>
          <w:rFonts w:ascii="宋体" w:hAnsi="宋体"/>
          <w:sz w:val="28"/>
          <w:szCs w:val="28"/>
        </w:rPr>
        <w:t>48</w:t>
      </w:r>
      <w:r>
        <w:rPr>
          <w:rFonts w:ascii="宋体" w:hAnsi="宋体"/>
          <w:sz w:val="28"/>
          <w:szCs w:val="28"/>
        </w:rPr>
        <w:fldChar w:fldCharType="end"/>
      </w:r>
      <w:r>
        <w:rPr>
          <w:rFonts w:ascii="宋体" w:hAnsi="宋体"/>
          <w:sz w:val="28"/>
          <w:szCs w:val="28"/>
        </w:rPr>
        <w:fldChar w:fldCharType="end"/>
      </w:r>
    </w:p>
    <w:p w14:paraId="71E4E8C5">
      <w:pPr>
        <w:pStyle w:val="16"/>
        <w:tabs>
          <w:tab w:val="right" w:leader="dot" w:pos="8858"/>
        </w:tabs>
        <w:spacing w:line="580" w:lineRule="exact"/>
        <w:rPr>
          <w:rFonts w:ascii="宋体" w:hAnsi="宋体" w:cstheme="minorBidi"/>
          <w:sz w:val="28"/>
          <w:szCs w:val="28"/>
        </w:rPr>
      </w:pPr>
      <w:r>
        <w:fldChar w:fldCharType="begin"/>
      </w:r>
      <w:r>
        <w:instrText xml:space="preserve"> HYPERLINK \l "_Toc528317061" </w:instrText>
      </w:r>
      <w:r>
        <w:fldChar w:fldCharType="separate"/>
      </w:r>
      <w:r>
        <w:rPr>
          <w:rStyle w:val="25"/>
          <w:rFonts w:ascii="宋体" w:hAnsi="宋体"/>
          <w:sz w:val="28"/>
          <w:szCs w:val="28"/>
        </w:rPr>
        <w:t>第十一章  城市更新</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_Toc528317061 \h </w:instrText>
      </w:r>
      <w:r>
        <w:rPr>
          <w:rFonts w:ascii="宋体" w:hAnsi="宋体"/>
          <w:sz w:val="28"/>
          <w:szCs w:val="28"/>
        </w:rPr>
        <w:fldChar w:fldCharType="separate"/>
      </w:r>
      <w:r>
        <w:rPr>
          <w:rFonts w:ascii="宋体" w:hAnsi="宋体"/>
          <w:sz w:val="28"/>
          <w:szCs w:val="28"/>
        </w:rPr>
        <w:t>49</w:t>
      </w:r>
      <w:r>
        <w:rPr>
          <w:rFonts w:ascii="宋体" w:hAnsi="宋体"/>
          <w:sz w:val="28"/>
          <w:szCs w:val="28"/>
        </w:rPr>
        <w:fldChar w:fldCharType="end"/>
      </w:r>
      <w:r>
        <w:rPr>
          <w:rFonts w:ascii="宋体" w:hAnsi="宋体"/>
          <w:sz w:val="28"/>
          <w:szCs w:val="28"/>
        </w:rPr>
        <w:fldChar w:fldCharType="end"/>
      </w:r>
    </w:p>
    <w:p w14:paraId="348500E7">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"_Toc528317062"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更新策略</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_Toc528317062 \h </w:instrText>
      </w:r>
      <w:r>
        <w:rPr>
          <w:rFonts w:ascii="宋体" w:hAnsi="宋体"/>
          <w:sz w:val="28"/>
          <w:szCs w:val="28"/>
        </w:rPr>
        <w:fldChar w:fldCharType="separate"/>
      </w:r>
      <w:r>
        <w:rPr>
          <w:rFonts w:ascii="宋体" w:hAnsi="宋体"/>
          <w:sz w:val="28"/>
          <w:szCs w:val="28"/>
        </w:rPr>
        <w:t>49</w:t>
      </w:r>
      <w:r>
        <w:rPr>
          <w:rFonts w:ascii="宋体" w:hAnsi="宋体"/>
          <w:sz w:val="28"/>
          <w:szCs w:val="28"/>
        </w:rPr>
        <w:fldChar w:fldCharType="end"/>
      </w:r>
      <w:r>
        <w:rPr>
          <w:rFonts w:ascii="宋体" w:hAnsi="宋体"/>
          <w:sz w:val="28"/>
          <w:szCs w:val="28"/>
        </w:rPr>
        <w:fldChar w:fldCharType="end"/>
      </w:r>
    </w:p>
    <w:p w14:paraId="0BA292EC">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"_Toc528317063"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更新方式</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_Toc528317063 \h </w:instrText>
      </w:r>
      <w:r>
        <w:rPr>
          <w:rFonts w:ascii="宋体" w:hAnsi="宋体"/>
          <w:sz w:val="28"/>
          <w:szCs w:val="28"/>
        </w:rPr>
        <w:fldChar w:fldCharType="separate"/>
      </w:r>
      <w:r>
        <w:rPr>
          <w:rFonts w:ascii="宋体" w:hAnsi="宋体"/>
          <w:sz w:val="28"/>
          <w:szCs w:val="28"/>
        </w:rPr>
        <w:t>49</w:t>
      </w:r>
      <w:r>
        <w:rPr>
          <w:rFonts w:ascii="宋体" w:hAnsi="宋体"/>
          <w:sz w:val="28"/>
          <w:szCs w:val="28"/>
        </w:rPr>
        <w:fldChar w:fldCharType="end"/>
      </w:r>
      <w:r>
        <w:rPr>
          <w:rFonts w:ascii="宋体" w:hAnsi="宋体"/>
          <w:sz w:val="28"/>
          <w:szCs w:val="28"/>
        </w:rPr>
        <w:fldChar w:fldCharType="end"/>
      </w:r>
    </w:p>
    <w:p w14:paraId="755C5A79">
      <w:pPr>
        <w:pStyle w:val="16"/>
        <w:tabs>
          <w:tab w:val="right" w:leader="dot" w:pos="8858"/>
        </w:tabs>
        <w:spacing w:line="580" w:lineRule="exact"/>
        <w:rPr>
          <w:rFonts w:ascii="宋体" w:hAnsi="宋体" w:cstheme="minorBidi"/>
          <w:sz w:val="28"/>
          <w:szCs w:val="28"/>
        </w:rPr>
      </w:pPr>
      <w:r>
        <w:fldChar w:fldCharType="begin"/>
      </w:r>
      <w:r>
        <w:instrText xml:space="preserve"> HYPERLINK \l "_Toc528317064" </w:instrText>
      </w:r>
      <w:r>
        <w:fldChar w:fldCharType="separate"/>
      </w:r>
      <w:r>
        <w:rPr>
          <w:rStyle w:val="25"/>
          <w:rFonts w:ascii="宋体" w:hAnsi="宋体"/>
          <w:sz w:val="28"/>
          <w:szCs w:val="28"/>
        </w:rPr>
        <w:t>第十二章  规划控制与管理</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_Toc528317064 \h </w:instrText>
      </w:r>
      <w:r>
        <w:rPr>
          <w:rFonts w:ascii="宋体" w:hAnsi="宋体"/>
          <w:sz w:val="28"/>
          <w:szCs w:val="28"/>
        </w:rPr>
        <w:fldChar w:fldCharType="separate"/>
      </w:r>
      <w:r>
        <w:rPr>
          <w:rFonts w:ascii="宋体" w:hAnsi="宋体"/>
          <w:sz w:val="28"/>
          <w:szCs w:val="28"/>
        </w:rPr>
        <w:t>51</w:t>
      </w:r>
      <w:r>
        <w:rPr>
          <w:rFonts w:ascii="宋体" w:hAnsi="宋体"/>
          <w:sz w:val="28"/>
          <w:szCs w:val="28"/>
        </w:rPr>
        <w:fldChar w:fldCharType="end"/>
      </w:r>
      <w:r>
        <w:rPr>
          <w:rFonts w:ascii="宋体" w:hAnsi="宋体"/>
          <w:sz w:val="28"/>
          <w:szCs w:val="28"/>
        </w:rPr>
        <w:fldChar w:fldCharType="end"/>
      </w:r>
    </w:p>
    <w:p w14:paraId="354BDE3A">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"_Toc528317065" </w:instrText>
      </w:r>
      <w:r>
        <w:fldChar w:fldCharType="separate"/>
      </w:r>
      <w:r>
        <w:rPr>
          <w:rStyle w:val="25"/>
          <w:rFonts w:ascii="宋体" w:hAnsi="宋体"/>
          <w:sz w:val="28"/>
          <w:szCs w:val="28"/>
        </w:rPr>
        <w:t>一、</w:t>
      </w:r>
      <w:r>
        <w:rPr>
          <w:rFonts w:ascii="宋体" w:hAnsi="宋体" w:cstheme="minorBidi"/>
          <w:sz w:val="28"/>
          <w:szCs w:val="28"/>
        </w:rPr>
        <w:tab/>
      </w:r>
      <w:r>
        <w:rPr>
          <w:rStyle w:val="25"/>
          <w:rFonts w:ascii="宋体" w:hAnsi="宋体"/>
          <w:sz w:val="28"/>
          <w:szCs w:val="28"/>
        </w:rPr>
        <w:t>规划控制体系</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_Toc528317065 \h </w:instrText>
      </w:r>
      <w:r>
        <w:rPr>
          <w:rFonts w:ascii="宋体" w:hAnsi="宋体"/>
          <w:sz w:val="28"/>
          <w:szCs w:val="28"/>
        </w:rPr>
        <w:fldChar w:fldCharType="separate"/>
      </w:r>
      <w:r>
        <w:rPr>
          <w:rFonts w:ascii="宋体" w:hAnsi="宋体"/>
          <w:sz w:val="28"/>
          <w:szCs w:val="28"/>
        </w:rPr>
        <w:t>51</w:t>
      </w:r>
      <w:r>
        <w:rPr>
          <w:rFonts w:ascii="宋体" w:hAnsi="宋体"/>
          <w:sz w:val="28"/>
          <w:szCs w:val="28"/>
        </w:rPr>
        <w:fldChar w:fldCharType="end"/>
      </w:r>
      <w:r>
        <w:rPr>
          <w:rFonts w:ascii="宋体" w:hAnsi="宋体"/>
          <w:sz w:val="28"/>
          <w:szCs w:val="28"/>
        </w:rPr>
        <w:fldChar w:fldCharType="end"/>
      </w:r>
    </w:p>
    <w:p w14:paraId="6D02DC07">
      <w:pPr>
        <w:pStyle w:val="10"/>
        <w:tabs>
          <w:tab w:val="left" w:pos="1680"/>
          <w:tab w:val="right" w:leader="dot" w:pos="8858"/>
        </w:tabs>
        <w:spacing w:line="580" w:lineRule="exact"/>
        <w:rPr>
          <w:rFonts w:ascii="宋体" w:hAnsi="宋体" w:cstheme="minorBidi"/>
          <w:sz w:val="28"/>
          <w:szCs w:val="28"/>
        </w:rPr>
      </w:pPr>
      <w:r>
        <w:fldChar w:fldCharType="begin"/>
      </w:r>
      <w:r>
        <w:instrText xml:space="preserve"> HYPERLINK \l "_Toc528317066" </w:instrText>
      </w:r>
      <w:r>
        <w:fldChar w:fldCharType="separate"/>
      </w:r>
      <w:r>
        <w:rPr>
          <w:rStyle w:val="25"/>
          <w:rFonts w:ascii="宋体" w:hAnsi="宋体"/>
          <w:sz w:val="28"/>
          <w:szCs w:val="28"/>
        </w:rPr>
        <w:t>二、</w:t>
      </w:r>
      <w:r>
        <w:rPr>
          <w:rFonts w:ascii="宋体" w:hAnsi="宋体" w:cstheme="minorBidi"/>
          <w:sz w:val="28"/>
          <w:szCs w:val="28"/>
        </w:rPr>
        <w:tab/>
      </w:r>
      <w:r>
        <w:rPr>
          <w:rStyle w:val="25"/>
          <w:rFonts w:ascii="宋体" w:hAnsi="宋体"/>
          <w:sz w:val="28"/>
          <w:szCs w:val="28"/>
        </w:rPr>
        <w:t>土地使用规划控制</w:t>
      </w:r>
      <w:r>
        <w:rPr>
          <w:rFonts w:ascii="宋体" w:hAnsi="宋体"/>
          <w:sz w:val="28"/>
          <w:szCs w:val="28"/>
        </w:rPr>
        <w:tab/>
      </w:r>
      <w:r>
        <w:rPr>
          <w:rFonts w:ascii="宋体" w:hAnsi="宋体"/>
          <w:sz w:val="28"/>
          <w:szCs w:val="28"/>
        </w:rPr>
        <w:fldChar w:fldCharType="begin"/>
      </w:r>
      <w:r>
        <w:rPr>
          <w:rFonts w:ascii="宋体" w:hAnsi="宋体"/>
          <w:sz w:val="28"/>
          <w:szCs w:val="28"/>
        </w:rPr>
        <w:instrText xml:space="preserve"> PAGEREF _Toc528317066 \h </w:instrText>
      </w:r>
      <w:r>
        <w:rPr>
          <w:rFonts w:ascii="宋体" w:hAnsi="宋体"/>
          <w:sz w:val="28"/>
          <w:szCs w:val="28"/>
        </w:rPr>
        <w:fldChar w:fldCharType="separate"/>
      </w:r>
      <w:r>
        <w:rPr>
          <w:rFonts w:ascii="宋体" w:hAnsi="宋体"/>
          <w:sz w:val="28"/>
          <w:szCs w:val="28"/>
        </w:rPr>
        <w:t>55</w:t>
      </w:r>
      <w:r>
        <w:rPr>
          <w:rFonts w:ascii="宋体" w:hAnsi="宋体"/>
          <w:sz w:val="28"/>
          <w:szCs w:val="28"/>
        </w:rPr>
        <w:fldChar w:fldCharType="end"/>
      </w:r>
      <w:r>
        <w:rPr>
          <w:rFonts w:ascii="宋体" w:hAnsi="宋体"/>
          <w:sz w:val="28"/>
          <w:szCs w:val="28"/>
        </w:rPr>
        <w:fldChar w:fldCharType="end"/>
      </w:r>
    </w:p>
    <w:p w14:paraId="45C020B8">
      <w:pPr>
        <w:spacing w:line="580" w:lineRule="exact"/>
        <w:rPr>
          <w:rFonts w:ascii="宋体" w:hAnsi="宋体"/>
          <w:sz w:val="28"/>
          <w:szCs w:val="28"/>
        </w:rPr>
      </w:pPr>
      <w:r>
        <w:rPr>
          <w:rFonts w:ascii="宋体" w:hAnsi="宋体"/>
          <w:sz w:val="28"/>
          <w:szCs w:val="28"/>
        </w:rPr>
        <w:fldChar w:fldCharType="end"/>
      </w:r>
    </w:p>
    <w:sectPr>
      <w:pgSz w:w="23814" w:h="16840" w:orient="landscape"/>
      <w:pgMar w:top="1985" w:right="1701" w:bottom="1701" w:left="2268" w:header="1134" w:footer="1134" w:gutter="0"/>
      <w:pgNumType w:start="1"/>
      <w:cols w:space="2109" w:num="2"/>
      <w:docGrid w:type="lines" w:linePitch="312" w:charSpace="-360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Light">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幼圆">
    <w:panose1 w:val="0201050906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ED6E8A">
    <w:pPr>
      <w:pStyle w:val="15"/>
    </w:pPr>
  </w:p>
  <w:p w14:paraId="1F3BFC79">
    <w:pPr>
      <w:pStyle w:val="14"/>
      <w:framePr w:wrap="around" w:vAnchor="text" w:hAnchor="margin" w:xAlign="right" w:y="1"/>
      <w:rPr>
        <w:rStyle w:val="24"/>
      </w:rPr>
    </w:pPr>
    <w:r>
      <w:rPr>
        <w:rStyle w:val="24"/>
      </w:rPr>
      <w:fldChar w:fldCharType="begin"/>
    </w:r>
    <w:r>
      <w:rPr>
        <w:rStyle w:val="24"/>
      </w:rPr>
      <w:instrText xml:space="preserve">PAGE  </w:instrText>
    </w:r>
    <w:r>
      <w:rPr>
        <w:rStyle w:val="24"/>
      </w:rPr>
      <w:fldChar w:fldCharType="separate"/>
    </w:r>
    <w:r>
      <w:rPr>
        <w:rStyle w:val="24"/>
      </w:rPr>
      <w:t>1</w:t>
    </w:r>
    <w:r>
      <w:rPr>
        <w:rStyle w:val="24"/>
      </w:rPr>
      <w:fldChar w:fldCharType="end"/>
    </w:r>
  </w:p>
  <w:p w14:paraId="64ADFECA">
    <w:pPr>
      <w:pStyle w:val="14"/>
      <w:ind w:right="360"/>
      <w:jc w:val="center"/>
      <w:rPr>
        <w:b/>
        <w:sz w:val="21"/>
        <w:szCs w:val="21"/>
      </w:rPr>
    </w:pPr>
    <w:r>
      <w:rPr>
        <w:rFonts w:hint="eastAsia"/>
        <w:b/>
        <w:sz w:val="21"/>
        <w:szCs w:val="21"/>
      </w:rPr>
      <w:t>陵川县住房保障和城乡建设管理局</w:t>
    </w:r>
  </w:p>
  <w:p w14:paraId="45C94676">
    <w:pPr>
      <w:pStyle w:val="14"/>
      <w:ind w:right="360"/>
      <w:jc w:val="center"/>
    </w:pPr>
    <w:r>
      <w:rPr>
        <w:rFonts w:hint="eastAsia"/>
        <w:b/>
        <w:sz w:val="21"/>
        <w:szCs w:val="21"/>
      </w:rPr>
      <w:t xml:space="preserve">山西省城乡规划设计研究院 </w:t>
    </w:r>
    <w:r>
      <w:rPr>
        <w:b/>
        <w:sz w:val="21"/>
        <w:szCs w:val="21"/>
      </w:rPr>
      <w:t xml:space="preserve">   </w:t>
    </w:r>
    <w:r>
      <w:rPr>
        <w:rFonts w:hint="eastAsia"/>
        <w:b/>
        <w:sz w:val="21"/>
        <w:szCs w:val="21"/>
      </w:rPr>
      <w:t>晋城市规划设计研究院</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9C4B3C">
    <w:pPr>
      <w:pStyle w:val="14"/>
      <w:framePr w:wrap="around" w:vAnchor="text" w:hAnchor="margin" w:xAlign="right" w:y="1"/>
      <w:rPr>
        <w:rStyle w:val="24"/>
      </w:rPr>
    </w:pPr>
    <w:r>
      <w:rPr>
        <w:rStyle w:val="24"/>
      </w:rPr>
      <w:fldChar w:fldCharType="begin"/>
    </w:r>
    <w:r>
      <w:rPr>
        <w:rStyle w:val="24"/>
      </w:rPr>
      <w:instrText xml:space="preserve">PAGE  </w:instrText>
    </w:r>
    <w:r>
      <w:rPr>
        <w:rStyle w:val="24"/>
      </w:rPr>
      <w:fldChar w:fldCharType="end"/>
    </w:r>
  </w:p>
  <w:p w14:paraId="324D72EC">
    <w:pPr>
      <w:pStyle w:val="14"/>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C3CF5D">
    <w:pPr>
      <w:pStyle w:val="15"/>
    </w:pPr>
  </w:p>
  <w:p w14:paraId="4C21F566">
    <w:pPr>
      <w:pStyle w:val="15"/>
      <w:wordWrap w:val="0"/>
      <w:jc w:val="right"/>
      <w:rPr>
        <w:b/>
        <w:sz w:val="21"/>
        <w:szCs w:val="21"/>
      </w:rPr>
    </w:pPr>
    <w:r>
      <w:rPr>
        <w:rFonts w:hint="eastAsia"/>
        <w:b/>
        <w:sz w:val="21"/>
        <w:szCs w:val="21"/>
      </w:rPr>
      <w:t>陵川县县城控制性详细规划·规划说明</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70549D5"/>
    <w:multiLevelType w:val="multilevel"/>
    <w:tmpl w:val="170549D5"/>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1">
    <w:nsid w:val="292A6B4F"/>
    <w:multiLevelType w:val="multilevel"/>
    <w:tmpl w:val="292A6B4F"/>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2">
    <w:nsid w:val="2B0A523B"/>
    <w:multiLevelType w:val="multilevel"/>
    <w:tmpl w:val="2B0A523B"/>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3">
    <w:nsid w:val="34CD4A50"/>
    <w:multiLevelType w:val="multilevel"/>
    <w:tmpl w:val="34CD4A50"/>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4">
    <w:nsid w:val="43CE66FA"/>
    <w:multiLevelType w:val="multilevel"/>
    <w:tmpl w:val="43CE66FA"/>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5">
    <w:nsid w:val="478F72C5"/>
    <w:multiLevelType w:val="multilevel"/>
    <w:tmpl w:val="478F72C5"/>
    <w:lvl w:ilvl="0" w:tentative="0">
      <w:start w:val="2"/>
      <w:numFmt w:val="decimal"/>
      <w:lvlText w:val="%1、"/>
      <w:lvlJc w:val="left"/>
      <w:pPr>
        <w:ind w:left="1280" w:hanging="720"/>
      </w:pPr>
      <w:rPr>
        <w:rFonts w:hint="default"/>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6">
    <w:nsid w:val="4FAE16FD"/>
    <w:multiLevelType w:val="multilevel"/>
    <w:tmpl w:val="4FAE16FD"/>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7">
    <w:nsid w:val="5C685D92"/>
    <w:multiLevelType w:val="multilevel"/>
    <w:tmpl w:val="5C685D92"/>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8">
    <w:nsid w:val="629665F2"/>
    <w:multiLevelType w:val="multilevel"/>
    <w:tmpl w:val="629665F2"/>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9">
    <w:nsid w:val="6B4175E7"/>
    <w:multiLevelType w:val="multilevel"/>
    <w:tmpl w:val="6B4175E7"/>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10">
    <w:nsid w:val="6C7754B0"/>
    <w:multiLevelType w:val="multilevel"/>
    <w:tmpl w:val="6C7754B0"/>
    <w:lvl w:ilvl="0" w:tentative="0">
      <w:start w:val="1"/>
      <w:numFmt w:val="japaneseCounting"/>
      <w:pStyle w:val="40"/>
      <w:lvlText w:val="第%1章"/>
      <w:lvlJc w:val="left"/>
      <w:pPr>
        <w:ind w:left="4957" w:hanging="420"/>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71064AAE"/>
    <w:multiLevelType w:val="multilevel"/>
    <w:tmpl w:val="71064AAE"/>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12">
    <w:nsid w:val="72225A12"/>
    <w:multiLevelType w:val="multilevel"/>
    <w:tmpl w:val="72225A12"/>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abstractNum w:abstractNumId="13">
    <w:nsid w:val="75545C4B"/>
    <w:multiLevelType w:val="multilevel"/>
    <w:tmpl w:val="75545C4B"/>
    <w:lvl w:ilvl="0" w:tentative="0">
      <w:start w:val="1"/>
      <w:numFmt w:val="chineseCountingThousand"/>
      <w:lvlText w:val="%1、"/>
      <w:lvlJc w:val="left"/>
      <w:pPr>
        <w:ind w:left="420" w:hanging="420"/>
      </w:pPr>
      <w:rPr>
        <w:rFonts w:hint="eastAsia"/>
        <w:lang w:val="en-US"/>
      </w:rPr>
    </w:lvl>
    <w:lvl w:ilvl="1" w:tentative="0">
      <w:start w:val="1"/>
      <w:numFmt w:val="lowerLetter"/>
      <w:lvlText w:val="%2)"/>
      <w:lvlJc w:val="left"/>
      <w:pPr>
        <w:ind w:left="1358" w:hanging="420"/>
      </w:pPr>
      <w:rPr>
        <w:rFonts w:hint="eastAsia"/>
      </w:rPr>
    </w:lvl>
    <w:lvl w:ilvl="2" w:tentative="0">
      <w:start w:val="1"/>
      <w:numFmt w:val="lowerRoman"/>
      <w:lvlText w:val="%3."/>
      <w:lvlJc w:val="right"/>
      <w:pPr>
        <w:ind w:left="1778" w:hanging="420"/>
      </w:pPr>
      <w:rPr>
        <w:rFonts w:hint="eastAsia"/>
      </w:rPr>
    </w:lvl>
    <w:lvl w:ilvl="3" w:tentative="0">
      <w:start w:val="1"/>
      <w:numFmt w:val="decimal"/>
      <w:lvlText w:val="%4."/>
      <w:lvlJc w:val="left"/>
      <w:pPr>
        <w:ind w:left="2198" w:hanging="420"/>
      </w:pPr>
      <w:rPr>
        <w:rFonts w:hint="eastAsia"/>
      </w:rPr>
    </w:lvl>
    <w:lvl w:ilvl="4" w:tentative="0">
      <w:start w:val="1"/>
      <w:numFmt w:val="lowerLetter"/>
      <w:lvlText w:val="%5)"/>
      <w:lvlJc w:val="left"/>
      <w:pPr>
        <w:ind w:left="2618" w:hanging="420"/>
      </w:pPr>
      <w:rPr>
        <w:rFonts w:hint="eastAsia"/>
      </w:rPr>
    </w:lvl>
    <w:lvl w:ilvl="5" w:tentative="0">
      <w:start w:val="1"/>
      <w:numFmt w:val="lowerRoman"/>
      <w:lvlText w:val="%6."/>
      <w:lvlJc w:val="right"/>
      <w:pPr>
        <w:ind w:left="3038" w:hanging="420"/>
      </w:pPr>
      <w:rPr>
        <w:rFonts w:hint="eastAsia"/>
      </w:rPr>
    </w:lvl>
    <w:lvl w:ilvl="6" w:tentative="0">
      <w:start w:val="1"/>
      <w:numFmt w:val="decimal"/>
      <w:lvlText w:val="%7."/>
      <w:lvlJc w:val="left"/>
      <w:pPr>
        <w:ind w:left="3458" w:hanging="420"/>
      </w:pPr>
      <w:rPr>
        <w:rFonts w:hint="eastAsia"/>
      </w:rPr>
    </w:lvl>
    <w:lvl w:ilvl="7" w:tentative="0">
      <w:start w:val="1"/>
      <w:numFmt w:val="lowerLetter"/>
      <w:lvlText w:val="%8)"/>
      <w:lvlJc w:val="left"/>
      <w:pPr>
        <w:ind w:left="3878" w:hanging="420"/>
      </w:pPr>
      <w:rPr>
        <w:rFonts w:hint="eastAsia"/>
      </w:rPr>
    </w:lvl>
    <w:lvl w:ilvl="8" w:tentative="0">
      <w:start w:val="1"/>
      <w:numFmt w:val="lowerRoman"/>
      <w:lvlText w:val="%9."/>
      <w:lvlJc w:val="right"/>
      <w:pPr>
        <w:ind w:left="4298" w:hanging="420"/>
      </w:pPr>
      <w:rPr>
        <w:rFonts w:hint="eastAsia"/>
      </w:rPr>
    </w:lvl>
  </w:abstractNum>
  <w:num w:numId="1">
    <w:abstractNumId w:val="10"/>
  </w:num>
  <w:num w:numId="2">
    <w:abstractNumId w:val="4"/>
  </w:num>
  <w:num w:numId="3">
    <w:abstractNumId w:val="0"/>
  </w:num>
  <w:num w:numId="4">
    <w:abstractNumId w:val="11"/>
  </w:num>
  <w:num w:numId="5">
    <w:abstractNumId w:val="12"/>
  </w:num>
  <w:num w:numId="6">
    <w:abstractNumId w:val="8"/>
  </w:num>
  <w:num w:numId="7">
    <w:abstractNumId w:val="2"/>
  </w:num>
  <w:num w:numId="8">
    <w:abstractNumId w:val="9"/>
  </w:num>
  <w:num w:numId="9">
    <w:abstractNumId w:val="13"/>
  </w:num>
  <w:num w:numId="10">
    <w:abstractNumId w:val="1"/>
  </w:num>
  <w:num w:numId="11">
    <w:abstractNumId w:val="5"/>
  </w:num>
  <w:num w:numId="12">
    <w:abstractNumId w:val="7"/>
  </w:num>
  <w:num w:numId="13">
    <w:abstractNumId w:val="3"/>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10"/>
  <w:drawingGridHorizontalSpacing w:val="96"/>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2171"/>
    <w:rsid w:val="00003CAC"/>
    <w:rsid w:val="00003D3B"/>
    <w:rsid w:val="00004493"/>
    <w:rsid w:val="00010D02"/>
    <w:rsid w:val="00013621"/>
    <w:rsid w:val="00014D05"/>
    <w:rsid w:val="00016E76"/>
    <w:rsid w:val="00017BA6"/>
    <w:rsid w:val="00033FD1"/>
    <w:rsid w:val="00034407"/>
    <w:rsid w:val="0003592B"/>
    <w:rsid w:val="000435C2"/>
    <w:rsid w:val="00044518"/>
    <w:rsid w:val="00044F03"/>
    <w:rsid w:val="000506E5"/>
    <w:rsid w:val="00050AC5"/>
    <w:rsid w:val="00053DF8"/>
    <w:rsid w:val="000544A0"/>
    <w:rsid w:val="00055ED9"/>
    <w:rsid w:val="000563C2"/>
    <w:rsid w:val="00056C8E"/>
    <w:rsid w:val="0005774F"/>
    <w:rsid w:val="00061E8C"/>
    <w:rsid w:val="00064CF9"/>
    <w:rsid w:val="00066FA1"/>
    <w:rsid w:val="00073700"/>
    <w:rsid w:val="00075B7F"/>
    <w:rsid w:val="000765DB"/>
    <w:rsid w:val="00080066"/>
    <w:rsid w:val="00084051"/>
    <w:rsid w:val="00085C7E"/>
    <w:rsid w:val="00087304"/>
    <w:rsid w:val="00087C26"/>
    <w:rsid w:val="0009096D"/>
    <w:rsid w:val="000A6D55"/>
    <w:rsid w:val="000A7785"/>
    <w:rsid w:val="000A796D"/>
    <w:rsid w:val="000B1844"/>
    <w:rsid w:val="000B2A33"/>
    <w:rsid w:val="000B384B"/>
    <w:rsid w:val="000B4FD9"/>
    <w:rsid w:val="000B7D3D"/>
    <w:rsid w:val="000C004D"/>
    <w:rsid w:val="000C32BE"/>
    <w:rsid w:val="000C451F"/>
    <w:rsid w:val="000C6E7D"/>
    <w:rsid w:val="000C7A92"/>
    <w:rsid w:val="000D23A6"/>
    <w:rsid w:val="000D6361"/>
    <w:rsid w:val="000E1047"/>
    <w:rsid w:val="000E527D"/>
    <w:rsid w:val="000F0A65"/>
    <w:rsid w:val="000F0EF3"/>
    <w:rsid w:val="000F2985"/>
    <w:rsid w:val="000F3820"/>
    <w:rsid w:val="00102B89"/>
    <w:rsid w:val="00102F56"/>
    <w:rsid w:val="00102FC0"/>
    <w:rsid w:val="00106391"/>
    <w:rsid w:val="00107CCE"/>
    <w:rsid w:val="00113055"/>
    <w:rsid w:val="00113559"/>
    <w:rsid w:val="00114DB3"/>
    <w:rsid w:val="00120D0C"/>
    <w:rsid w:val="00121CB4"/>
    <w:rsid w:val="001234E7"/>
    <w:rsid w:val="00125D58"/>
    <w:rsid w:val="00126116"/>
    <w:rsid w:val="0012643F"/>
    <w:rsid w:val="00127465"/>
    <w:rsid w:val="001333D7"/>
    <w:rsid w:val="00137649"/>
    <w:rsid w:val="00137B03"/>
    <w:rsid w:val="00137CFF"/>
    <w:rsid w:val="00140CB3"/>
    <w:rsid w:val="00141D11"/>
    <w:rsid w:val="00142408"/>
    <w:rsid w:val="00142BB7"/>
    <w:rsid w:val="0014532C"/>
    <w:rsid w:val="00151240"/>
    <w:rsid w:val="00151EA1"/>
    <w:rsid w:val="00155A44"/>
    <w:rsid w:val="00156EB8"/>
    <w:rsid w:val="001622C5"/>
    <w:rsid w:val="001623E4"/>
    <w:rsid w:val="00166442"/>
    <w:rsid w:val="00166A02"/>
    <w:rsid w:val="0017063B"/>
    <w:rsid w:val="00170CC5"/>
    <w:rsid w:val="00170E07"/>
    <w:rsid w:val="001728C5"/>
    <w:rsid w:val="00174D14"/>
    <w:rsid w:val="0017531E"/>
    <w:rsid w:val="00182FAD"/>
    <w:rsid w:val="001843C8"/>
    <w:rsid w:val="0018473E"/>
    <w:rsid w:val="0018584B"/>
    <w:rsid w:val="00186789"/>
    <w:rsid w:val="001879EB"/>
    <w:rsid w:val="0019005A"/>
    <w:rsid w:val="00197701"/>
    <w:rsid w:val="00197B53"/>
    <w:rsid w:val="001A3D0C"/>
    <w:rsid w:val="001A667A"/>
    <w:rsid w:val="001B4232"/>
    <w:rsid w:val="001B53CB"/>
    <w:rsid w:val="001B645A"/>
    <w:rsid w:val="001C653D"/>
    <w:rsid w:val="001C6A2A"/>
    <w:rsid w:val="001C7EFA"/>
    <w:rsid w:val="001D0703"/>
    <w:rsid w:val="001D3B36"/>
    <w:rsid w:val="001D4F84"/>
    <w:rsid w:val="001D6FA8"/>
    <w:rsid w:val="001E0BDC"/>
    <w:rsid w:val="001E10F6"/>
    <w:rsid w:val="001E143E"/>
    <w:rsid w:val="001E16B2"/>
    <w:rsid w:val="001E1C1A"/>
    <w:rsid w:val="001E409F"/>
    <w:rsid w:val="001E5CF2"/>
    <w:rsid w:val="001F1719"/>
    <w:rsid w:val="001F2F35"/>
    <w:rsid w:val="001F4828"/>
    <w:rsid w:val="001F6851"/>
    <w:rsid w:val="001F691B"/>
    <w:rsid w:val="002014F1"/>
    <w:rsid w:val="00204D25"/>
    <w:rsid w:val="00205B51"/>
    <w:rsid w:val="00205D7D"/>
    <w:rsid w:val="00206298"/>
    <w:rsid w:val="00206FFC"/>
    <w:rsid w:val="00210BBD"/>
    <w:rsid w:val="00217475"/>
    <w:rsid w:val="00217ECB"/>
    <w:rsid w:val="00222081"/>
    <w:rsid w:val="0022210E"/>
    <w:rsid w:val="00227039"/>
    <w:rsid w:val="00245F8A"/>
    <w:rsid w:val="002463CC"/>
    <w:rsid w:val="00251C51"/>
    <w:rsid w:val="00252959"/>
    <w:rsid w:val="002534AF"/>
    <w:rsid w:val="00254FAE"/>
    <w:rsid w:val="0025699A"/>
    <w:rsid w:val="00261A25"/>
    <w:rsid w:val="00262ADA"/>
    <w:rsid w:val="0026678C"/>
    <w:rsid w:val="00267696"/>
    <w:rsid w:val="00271E4C"/>
    <w:rsid w:val="00275F2B"/>
    <w:rsid w:val="00276330"/>
    <w:rsid w:val="00281F2B"/>
    <w:rsid w:val="00282765"/>
    <w:rsid w:val="00282B77"/>
    <w:rsid w:val="00284CCE"/>
    <w:rsid w:val="00285CEB"/>
    <w:rsid w:val="002867DA"/>
    <w:rsid w:val="002870EC"/>
    <w:rsid w:val="00287A75"/>
    <w:rsid w:val="00290B0E"/>
    <w:rsid w:val="00291C03"/>
    <w:rsid w:val="00293AC7"/>
    <w:rsid w:val="002A21F3"/>
    <w:rsid w:val="002A34AD"/>
    <w:rsid w:val="002A37FC"/>
    <w:rsid w:val="002A62A4"/>
    <w:rsid w:val="002B0B21"/>
    <w:rsid w:val="002B14F6"/>
    <w:rsid w:val="002B16E5"/>
    <w:rsid w:val="002B25FA"/>
    <w:rsid w:val="002B4D03"/>
    <w:rsid w:val="002C02C4"/>
    <w:rsid w:val="002C47E7"/>
    <w:rsid w:val="002D3CD7"/>
    <w:rsid w:val="002D4A07"/>
    <w:rsid w:val="002D4E99"/>
    <w:rsid w:val="002E2DF1"/>
    <w:rsid w:val="002E3524"/>
    <w:rsid w:val="002E6E28"/>
    <w:rsid w:val="002F25D7"/>
    <w:rsid w:val="002F3523"/>
    <w:rsid w:val="002F464E"/>
    <w:rsid w:val="002F63B2"/>
    <w:rsid w:val="002F688C"/>
    <w:rsid w:val="00300C51"/>
    <w:rsid w:val="00300E21"/>
    <w:rsid w:val="003013AE"/>
    <w:rsid w:val="00302AB8"/>
    <w:rsid w:val="0030570C"/>
    <w:rsid w:val="00311BEA"/>
    <w:rsid w:val="00312246"/>
    <w:rsid w:val="00312A6C"/>
    <w:rsid w:val="003246CD"/>
    <w:rsid w:val="0032742A"/>
    <w:rsid w:val="00333F21"/>
    <w:rsid w:val="00336A90"/>
    <w:rsid w:val="0033719C"/>
    <w:rsid w:val="00340237"/>
    <w:rsid w:val="003415B9"/>
    <w:rsid w:val="0034180F"/>
    <w:rsid w:val="0034452D"/>
    <w:rsid w:val="00345650"/>
    <w:rsid w:val="003456C2"/>
    <w:rsid w:val="00347904"/>
    <w:rsid w:val="00352DB1"/>
    <w:rsid w:val="00353742"/>
    <w:rsid w:val="00353FD0"/>
    <w:rsid w:val="00354111"/>
    <w:rsid w:val="003654C0"/>
    <w:rsid w:val="00370D33"/>
    <w:rsid w:val="00371CD2"/>
    <w:rsid w:val="00373610"/>
    <w:rsid w:val="003743D3"/>
    <w:rsid w:val="00376418"/>
    <w:rsid w:val="003805BC"/>
    <w:rsid w:val="003825FD"/>
    <w:rsid w:val="0039028A"/>
    <w:rsid w:val="00391F3A"/>
    <w:rsid w:val="003920C0"/>
    <w:rsid w:val="00395909"/>
    <w:rsid w:val="003972FF"/>
    <w:rsid w:val="003A0FD6"/>
    <w:rsid w:val="003A2EDA"/>
    <w:rsid w:val="003A346D"/>
    <w:rsid w:val="003A7B1A"/>
    <w:rsid w:val="003B04E7"/>
    <w:rsid w:val="003B17F6"/>
    <w:rsid w:val="003B66EE"/>
    <w:rsid w:val="003B7682"/>
    <w:rsid w:val="003C1B9E"/>
    <w:rsid w:val="003C2B1D"/>
    <w:rsid w:val="003C4C4C"/>
    <w:rsid w:val="003C52D4"/>
    <w:rsid w:val="003C66A1"/>
    <w:rsid w:val="003C733D"/>
    <w:rsid w:val="003D3B17"/>
    <w:rsid w:val="003D3D0C"/>
    <w:rsid w:val="003D48B0"/>
    <w:rsid w:val="003D6122"/>
    <w:rsid w:val="003E22C3"/>
    <w:rsid w:val="003E4F33"/>
    <w:rsid w:val="003F1433"/>
    <w:rsid w:val="003F621D"/>
    <w:rsid w:val="003F7BF1"/>
    <w:rsid w:val="00401C06"/>
    <w:rsid w:val="00402945"/>
    <w:rsid w:val="004039EC"/>
    <w:rsid w:val="00404AC2"/>
    <w:rsid w:val="00410AE5"/>
    <w:rsid w:val="00412AAC"/>
    <w:rsid w:val="0041339D"/>
    <w:rsid w:val="00414654"/>
    <w:rsid w:val="004175A1"/>
    <w:rsid w:val="00420006"/>
    <w:rsid w:val="0042415D"/>
    <w:rsid w:val="00424205"/>
    <w:rsid w:val="00432B9D"/>
    <w:rsid w:val="0043303D"/>
    <w:rsid w:val="0043344B"/>
    <w:rsid w:val="004336BE"/>
    <w:rsid w:val="00434A21"/>
    <w:rsid w:val="00434F0F"/>
    <w:rsid w:val="00442364"/>
    <w:rsid w:val="00442E8A"/>
    <w:rsid w:val="00443BDF"/>
    <w:rsid w:val="00444B70"/>
    <w:rsid w:val="004467CF"/>
    <w:rsid w:val="00446F3C"/>
    <w:rsid w:val="00451780"/>
    <w:rsid w:val="00452E07"/>
    <w:rsid w:val="00454049"/>
    <w:rsid w:val="0045526C"/>
    <w:rsid w:val="00457160"/>
    <w:rsid w:val="00457B4F"/>
    <w:rsid w:val="004615C5"/>
    <w:rsid w:val="00461CFF"/>
    <w:rsid w:val="004734D6"/>
    <w:rsid w:val="00475364"/>
    <w:rsid w:val="004769D2"/>
    <w:rsid w:val="00476C77"/>
    <w:rsid w:val="00476D12"/>
    <w:rsid w:val="00480573"/>
    <w:rsid w:val="00482B19"/>
    <w:rsid w:val="0048390F"/>
    <w:rsid w:val="004842CE"/>
    <w:rsid w:val="00486747"/>
    <w:rsid w:val="004877A6"/>
    <w:rsid w:val="00490BDE"/>
    <w:rsid w:val="0049106D"/>
    <w:rsid w:val="00491D84"/>
    <w:rsid w:val="00492C52"/>
    <w:rsid w:val="00493220"/>
    <w:rsid w:val="004936DF"/>
    <w:rsid w:val="00494971"/>
    <w:rsid w:val="004A0AEA"/>
    <w:rsid w:val="004A3F57"/>
    <w:rsid w:val="004A6415"/>
    <w:rsid w:val="004B15B2"/>
    <w:rsid w:val="004B50C5"/>
    <w:rsid w:val="004B7E5A"/>
    <w:rsid w:val="004C24B4"/>
    <w:rsid w:val="004C4BFB"/>
    <w:rsid w:val="004C79BA"/>
    <w:rsid w:val="004D009F"/>
    <w:rsid w:val="004D0C7E"/>
    <w:rsid w:val="004D2AD0"/>
    <w:rsid w:val="004D5703"/>
    <w:rsid w:val="004D73FC"/>
    <w:rsid w:val="004E0800"/>
    <w:rsid w:val="004E0F76"/>
    <w:rsid w:val="004F4F0C"/>
    <w:rsid w:val="004F7D4F"/>
    <w:rsid w:val="004F7E78"/>
    <w:rsid w:val="005035E0"/>
    <w:rsid w:val="0050552F"/>
    <w:rsid w:val="005056A1"/>
    <w:rsid w:val="00506614"/>
    <w:rsid w:val="00506D90"/>
    <w:rsid w:val="0051027E"/>
    <w:rsid w:val="00510A94"/>
    <w:rsid w:val="00511BB1"/>
    <w:rsid w:val="0051611D"/>
    <w:rsid w:val="0052193F"/>
    <w:rsid w:val="005232B4"/>
    <w:rsid w:val="0052383E"/>
    <w:rsid w:val="00523B15"/>
    <w:rsid w:val="00527973"/>
    <w:rsid w:val="00531270"/>
    <w:rsid w:val="00531D6B"/>
    <w:rsid w:val="00531F0A"/>
    <w:rsid w:val="00533FCD"/>
    <w:rsid w:val="005352B4"/>
    <w:rsid w:val="00536084"/>
    <w:rsid w:val="00542627"/>
    <w:rsid w:val="00545037"/>
    <w:rsid w:val="00550CFE"/>
    <w:rsid w:val="00556B54"/>
    <w:rsid w:val="00557CA0"/>
    <w:rsid w:val="00557FAD"/>
    <w:rsid w:val="00561E67"/>
    <w:rsid w:val="005702DA"/>
    <w:rsid w:val="00570F8C"/>
    <w:rsid w:val="00573DB7"/>
    <w:rsid w:val="00576075"/>
    <w:rsid w:val="0057619E"/>
    <w:rsid w:val="00580707"/>
    <w:rsid w:val="00580944"/>
    <w:rsid w:val="0058394D"/>
    <w:rsid w:val="00583A63"/>
    <w:rsid w:val="00584F7B"/>
    <w:rsid w:val="00594546"/>
    <w:rsid w:val="005947DE"/>
    <w:rsid w:val="00596547"/>
    <w:rsid w:val="005A08EC"/>
    <w:rsid w:val="005B29F1"/>
    <w:rsid w:val="005B7CA9"/>
    <w:rsid w:val="005C09CB"/>
    <w:rsid w:val="005C1C9A"/>
    <w:rsid w:val="005C271F"/>
    <w:rsid w:val="005C758A"/>
    <w:rsid w:val="005D12AF"/>
    <w:rsid w:val="005D16B7"/>
    <w:rsid w:val="005D2AD5"/>
    <w:rsid w:val="005D2F7B"/>
    <w:rsid w:val="005D318A"/>
    <w:rsid w:val="005D4EE4"/>
    <w:rsid w:val="005D545C"/>
    <w:rsid w:val="005D7088"/>
    <w:rsid w:val="005E115D"/>
    <w:rsid w:val="005E13C6"/>
    <w:rsid w:val="005E25D6"/>
    <w:rsid w:val="005E32F8"/>
    <w:rsid w:val="005E5723"/>
    <w:rsid w:val="005F0413"/>
    <w:rsid w:val="005F3804"/>
    <w:rsid w:val="005F4BE1"/>
    <w:rsid w:val="005F4EE1"/>
    <w:rsid w:val="005F5995"/>
    <w:rsid w:val="006003F4"/>
    <w:rsid w:val="00602D28"/>
    <w:rsid w:val="00603E74"/>
    <w:rsid w:val="0060664E"/>
    <w:rsid w:val="0061241B"/>
    <w:rsid w:val="00612AD3"/>
    <w:rsid w:val="00612B22"/>
    <w:rsid w:val="0061373B"/>
    <w:rsid w:val="006148C8"/>
    <w:rsid w:val="00615E7F"/>
    <w:rsid w:val="00616CCB"/>
    <w:rsid w:val="00622450"/>
    <w:rsid w:val="006224E6"/>
    <w:rsid w:val="00626A1E"/>
    <w:rsid w:val="006274CE"/>
    <w:rsid w:val="00627825"/>
    <w:rsid w:val="00630871"/>
    <w:rsid w:val="00632613"/>
    <w:rsid w:val="00632C94"/>
    <w:rsid w:val="00635375"/>
    <w:rsid w:val="00636CE8"/>
    <w:rsid w:val="00640198"/>
    <w:rsid w:val="00642330"/>
    <w:rsid w:val="0064256F"/>
    <w:rsid w:val="00645553"/>
    <w:rsid w:val="006502AB"/>
    <w:rsid w:val="00650F78"/>
    <w:rsid w:val="00651C6A"/>
    <w:rsid w:val="00660B16"/>
    <w:rsid w:val="00662952"/>
    <w:rsid w:val="0066295F"/>
    <w:rsid w:val="00663D58"/>
    <w:rsid w:val="00664732"/>
    <w:rsid w:val="00675160"/>
    <w:rsid w:val="0067797C"/>
    <w:rsid w:val="00677A15"/>
    <w:rsid w:val="00682854"/>
    <w:rsid w:val="00683779"/>
    <w:rsid w:val="0068749A"/>
    <w:rsid w:val="00692B91"/>
    <w:rsid w:val="00696CFA"/>
    <w:rsid w:val="006A1253"/>
    <w:rsid w:val="006A28F6"/>
    <w:rsid w:val="006A4CDF"/>
    <w:rsid w:val="006A67AB"/>
    <w:rsid w:val="006B22A7"/>
    <w:rsid w:val="006B6A41"/>
    <w:rsid w:val="006B753D"/>
    <w:rsid w:val="006B79E3"/>
    <w:rsid w:val="006C1DEB"/>
    <w:rsid w:val="006C2171"/>
    <w:rsid w:val="006C45DE"/>
    <w:rsid w:val="006D0A80"/>
    <w:rsid w:val="006D493B"/>
    <w:rsid w:val="006D55AB"/>
    <w:rsid w:val="006E199B"/>
    <w:rsid w:val="006E1E73"/>
    <w:rsid w:val="006E7FD3"/>
    <w:rsid w:val="006F001B"/>
    <w:rsid w:val="006F088C"/>
    <w:rsid w:val="006F1FF9"/>
    <w:rsid w:val="006F6ECE"/>
    <w:rsid w:val="00703F1A"/>
    <w:rsid w:val="00705308"/>
    <w:rsid w:val="007067A6"/>
    <w:rsid w:val="00707155"/>
    <w:rsid w:val="00711048"/>
    <w:rsid w:val="00713069"/>
    <w:rsid w:val="00714F18"/>
    <w:rsid w:val="00720D53"/>
    <w:rsid w:val="00731DD1"/>
    <w:rsid w:val="0073281A"/>
    <w:rsid w:val="00732B79"/>
    <w:rsid w:val="00733DB9"/>
    <w:rsid w:val="00734345"/>
    <w:rsid w:val="00736929"/>
    <w:rsid w:val="007427DE"/>
    <w:rsid w:val="007447B1"/>
    <w:rsid w:val="00746162"/>
    <w:rsid w:val="007466A1"/>
    <w:rsid w:val="00747D41"/>
    <w:rsid w:val="0075185D"/>
    <w:rsid w:val="00751AF0"/>
    <w:rsid w:val="007565C8"/>
    <w:rsid w:val="0076187A"/>
    <w:rsid w:val="00762908"/>
    <w:rsid w:val="00762F55"/>
    <w:rsid w:val="00763F22"/>
    <w:rsid w:val="00773F43"/>
    <w:rsid w:val="00774461"/>
    <w:rsid w:val="00774C61"/>
    <w:rsid w:val="00780809"/>
    <w:rsid w:val="00785E62"/>
    <w:rsid w:val="0078689F"/>
    <w:rsid w:val="00792397"/>
    <w:rsid w:val="00792D0D"/>
    <w:rsid w:val="00797587"/>
    <w:rsid w:val="007A3D64"/>
    <w:rsid w:val="007A4E4C"/>
    <w:rsid w:val="007B0B09"/>
    <w:rsid w:val="007B25DC"/>
    <w:rsid w:val="007B2A9F"/>
    <w:rsid w:val="007B374B"/>
    <w:rsid w:val="007B4EC2"/>
    <w:rsid w:val="007B6C78"/>
    <w:rsid w:val="007C1399"/>
    <w:rsid w:val="007C474D"/>
    <w:rsid w:val="007C659D"/>
    <w:rsid w:val="007D6EC6"/>
    <w:rsid w:val="007D7568"/>
    <w:rsid w:val="007E33A9"/>
    <w:rsid w:val="007E3685"/>
    <w:rsid w:val="007E4E01"/>
    <w:rsid w:val="007E56DE"/>
    <w:rsid w:val="007E76ED"/>
    <w:rsid w:val="007F1734"/>
    <w:rsid w:val="007F314F"/>
    <w:rsid w:val="007F63FD"/>
    <w:rsid w:val="007F6776"/>
    <w:rsid w:val="00801735"/>
    <w:rsid w:val="0080180D"/>
    <w:rsid w:val="0080572B"/>
    <w:rsid w:val="008063ED"/>
    <w:rsid w:val="0081042E"/>
    <w:rsid w:val="0081352C"/>
    <w:rsid w:val="008155C6"/>
    <w:rsid w:val="00823720"/>
    <w:rsid w:val="008255E5"/>
    <w:rsid w:val="00826454"/>
    <w:rsid w:val="0082694D"/>
    <w:rsid w:val="00827BAA"/>
    <w:rsid w:val="00832368"/>
    <w:rsid w:val="0083293F"/>
    <w:rsid w:val="00832F5A"/>
    <w:rsid w:val="00835303"/>
    <w:rsid w:val="00835AB1"/>
    <w:rsid w:val="008367B7"/>
    <w:rsid w:val="00836D72"/>
    <w:rsid w:val="00837FC0"/>
    <w:rsid w:val="008438F8"/>
    <w:rsid w:val="00854019"/>
    <w:rsid w:val="0085432B"/>
    <w:rsid w:val="0085741E"/>
    <w:rsid w:val="0086146C"/>
    <w:rsid w:val="00862C96"/>
    <w:rsid w:val="00862FEF"/>
    <w:rsid w:val="00863305"/>
    <w:rsid w:val="00867B04"/>
    <w:rsid w:val="00871C1B"/>
    <w:rsid w:val="00873046"/>
    <w:rsid w:val="008756B9"/>
    <w:rsid w:val="00877523"/>
    <w:rsid w:val="008778EA"/>
    <w:rsid w:val="0088039A"/>
    <w:rsid w:val="0088258D"/>
    <w:rsid w:val="008873C0"/>
    <w:rsid w:val="008967BB"/>
    <w:rsid w:val="008968EA"/>
    <w:rsid w:val="00897D87"/>
    <w:rsid w:val="008A123B"/>
    <w:rsid w:val="008A1BE4"/>
    <w:rsid w:val="008A44D9"/>
    <w:rsid w:val="008A6566"/>
    <w:rsid w:val="008A6D49"/>
    <w:rsid w:val="008A7CA0"/>
    <w:rsid w:val="008B14F2"/>
    <w:rsid w:val="008B406F"/>
    <w:rsid w:val="008B4809"/>
    <w:rsid w:val="008B7A21"/>
    <w:rsid w:val="008C3328"/>
    <w:rsid w:val="008C4D6A"/>
    <w:rsid w:val="008D1744"/>
    <w:rsid w:val="008D199A"/>
    <w:rsid w:val="008E29F1"/>
    <w:rsid w:val="008E4673"/>
    <w:rsid w:val="008E6B1D"/>
    <w:rsid w:val="008E7AC9"/>
    <w:rsid w:val="008F1ABF"/>
    <w:rsid w:val="008F2415"/>
    <w:rsid w:val="008F2A6E"/>
    <w:rsid w:val="008F4BE5"/>
    <w:rsid w:val="008F6352"/>
    <w:rsid w:val="00903CE2"/>
    <w:rsid w:val="00904D71"/>
    <w:rsid w:val="00906A5C"/>
    <w:rsid w:val="00910BD9"/>
    <w:rsid w:val="00913AC1"/>
    <w:rsid w:val="00915931"/>
    <w:rsid w:val="00915D2E"/>
    <w:rsid w:val="009265BA"/>
    <w:rsid w:val="00932EAB"/>
    <w:rsid w:val="00933E82"/>
    <w:rsid w:val="009351AE"/>
    <w:rsid w:val="00937EFD"/>
    <w:rsid w:val="00940225"/>
    <w:rsid w:val="0094034F"/>
    <w:rsid w:val="009435D1"/>
    <w:rsid w:val="009451F3"/>
    <w:rsid w:val="00946988"/>
    <w:rsid w:val="00950164"/>
    <w:rsid w:val="009503E4"/>
    <w:rsid w:val="00950B55"/>
    <w:rsid w:val="00952812"/>
    <w:rsid w:val="009533BE"/>
    <w:rsid w:val="00956B9D"/>
    <w:rsid w:val="00957A8A"/>
    <w:rsid w:val="00964A4E"/>
    <w:rsid w:val="00964CE1"/>
    <w:rsid w:val="009671AB"/>
    <w:rsid w:val="0097188D"/>
    <w:rsid w:val="009758B3"/>
    <w:rsid w:val="009770B0"/>
    <w:rsid w:val="009811E0"/>
    <w:rsid w:val="00981557"/>
    <w:rsid w:val="0098197B"/>
    <w:rsid w:val="00982C39"/>
    <w:rsid w:val="00983EB5"/>
    <w:rsid w:val="009857CA"/>
    <w:rsid w:val="0099077A"/>
    <w:rsid w:val="00990AD9"/>
    <w:rsid w:val="009917A8"/>
    <w:rsid w:val="00996A26"/>
    <w:rsid w:val="0099749C"/>
    <w:rsid w:val="00997DF6"/>
    <w:rsid w:val="009A0874"/>
    <w:rsid w:val="009A105B"/>
    <w:rsid w:val="009A1146"/>
    <w:rsid w:val="009A1471"/>
    <w:rsid w:val="009A41CB"/>
    <w:rsid w:val="009A628A"/>
    <w:rsid w:val="009A7052"/>
    <w:rsid w:val="009B352C"/>
    <w:rsid w:val="009B4004"/>
    <w:rsid w:val="009B44A0"/>
    <w:rsid w:val="009B68EB"/>
    <w:rsid w:val="009C2B98"/>
    <w:rsid w:val="009C6C0A"/>
    <w:rsid w:val="009C768D"/>
    <w:rsid w:val="009D2BC2"/>
    <w:rsid w:val="009E06B1"/>
    <w:rsid w:val="009E71B2"/>
    <w:rsid w:val="009E73DF"/>
    <w:rsid w:val="009F0A47"/>
    <w:rsid w:val="009F5B4A"/>
    <w:rsid w:val="009F7858"/>
    <w:rsid w:val="009F7E2F"/>
    <w:rsid w:val="00A00342"/>
    <w:rsid w:val="00A003A3"/>
    <w:rsid w:val="00A01196"/>
    <w:rsid w:val="00A02C4A"/>
    <w:rsid w:val="00A041E9"/>
    <w:rsid w:val="00A059A3"/>
    <w:rsid w:val="00A11C41"/>
    <w:rsid w:val="00A1307E"/>
    <w:rsid w:val="00A13619"/>
    <w:rsid w:val="00A17BE6"/>
    <w:rsid w:val="00A21DB2"/>
    <w:rsid w:val="00A223CE"/>
    <w:rsid w:val="00A251AE"/>
    <w:rsid w:val="00A26300"/>
    <w:rsid w:val="00A31BAA"/>
    <w:rsid w:val="00A32553"/>
    <w:rsid w:val="00A326D4"/>
    <w:rsid w:val="00A34A67"/>
    <w:rsid w:val="00A3571E"/>
    <w:rsid w:val="00A3579F"/>
    <w:rsid w:val="00A36599"/>
    <w:rsid w:val="00A36E29"/>
    <w:rsid w:val="00A37351"/>
    <w:rsid w:val="00A37A66"/>
    <w:rsid w:val="00A41597"/>
    <w:rsid w:val="00A42DAE"/>
    <w:rsid w:val="00A449C0"/>
    <w:rsid w:val="00A44C70"/>
    <w:rsid w:val="00A45216"/>
    <w:rsid w:val="00A459C3"/>
    <w:rsid w:val="00A469B8"/>
    <w:rsid w:val="00A46E48"/>
    <w:rsid w:val="00A5131F"/>
    <w:rsid w:val="00A51861"/>
    <w:rsid w:val="00A5335B"/>
    <w:rsid w:val="00A550F1"/>
    <w:rsid w:val="00A557D6"/>
    <w:rsid w:val="00A55D7D"/>
    <w:rsid w:val="00A56582"/>
    <w:rsid w:val="00A60ABF"/>
    <w:rsid w:val="00A63F75"/>
    <w:rsid w:val="00A642E2"/>
    <w:rsid w:val="00A73D20"/>
    <w:rsid w:val="00A763FA"/>
    <w:rsid w:val="00A80F66"/>
    <w:rsid w:val="00A83243"/>
    <w:rsid w:val="00A83748"/>
    <w:rsid w:val="00A910E5"/>
    <w:rsid w:val="00A91416"/>
    <w:rsid w:val="00A91FA3"/>
    <w:rsid w:val="00A94991"/>
    <w:rsid w:val="00A95AB1"/>
    <w:rsid w:val="00AA1973"/>
    <w:rsid w:val="00AA2754"/>
    <w:rsid w:val="00AA302C"/>
    <w:rsid w:val="00AA51B8"/>
    <w:rsid w:val="00AA61EE"/>
    <w:rsid w:val="00AA6743"/>
    <w:rsid w:val="00AA74ED"/>
    <w:rsid w:val="00AB0CB0"/>
    <w:rsid w:val="00AB5E8A"/>
    <w:rsid w:val="00AB7431"/>
    <w:rsid w:val="00AC26E1"/>
    <w:rsid w:val="00AC44A0"/>
    <w:rsid w:val="00AC6E0F"/>
    <w:rsid w:val="00AD0903"/>
    <w:rsid w:val="00AD3A0B"/>
    <w:rsid w:val="00AD504D"/>
    <w:rsid w:val="00AE3BBA"/>
    <w:rsid w:val="00AE3D16"/>
    <w:rsid w:val="00AE4685"/>
    <w:rsid w:val="00AF22F4"/>
    <w:rsid w:val="00AF24B6"/>
    <w:rsid w:val="00B0638F"/>
    <w:rsid w:val="00B116F6"/>
    <w:rsid w:val="00B1435A"/>
    <w:rsid w:val="00B2620F"/>
    <w:rsid w:val="00B27CBE"/>
    <w:rsid w:val="00B33DA1"/>
    <w:rsid w:val="00B34D37"/>
    <w:rsid w:val="00B357CC"/>
    <w:rsid w:val="00B40C42"/>
    <w:rsid w:val="00B445FB"/>
    <w:rsid w:val="00B4744E"/>
    <w:rsid w:val="00B51785"/>
    <w:rsid w:val="00B51790"/>
    <w:rsid w:val="00B52FA2"/>
    <w:rsid w:val="00B54E4C"/>
    <w:rsid w:val="00B6028E"/>
    <w:rsid w:val="00B61FCF"/>
    <w:rsid w:val="00B64EE1"/>
    <w:rsid w:val="00B67D0D"/>
    <w:rsid w:val="00B70667"/>
    <w:rsid w:val="00B70856"/>
    <w:rsid w:val="00B7170A"/>
    <w:rsid w:val="00B760C2"/>
    <w:rsid w:val="00B80D8C"/>
    <w:rsid w:val="00B82286"/>
    <w:rsid w:val="00B86090"/>
    <w:rsid w:val="00B86114"/>
    <w:rsid w:val="00B87C94"/>
    <w:rsid w:val="00B90A50"/>
    <w:rsid w:val="00B96666"/>
    <w:rsid w:val="00B97708"/>
    <w:rsid w:val="00BA2A5C"/>
    <w:rsid w:val="00BA5A52"/>
    <w:rsid w:val="00BA68DD"/>
    <w:rsid w:val="00BA7718"/>
    <w:rsid w:val="00BA7A13"/>
    <w:rsid w:val="00BB32D3"/>
    <w:rsid w:val="00BB41C2"/>
    <w:rsid w:val="00BB6E0D"/>
    <w:rsid w:val="00BC0765"/>
    <w:rsid w:val="00BC233A"/>
    <w:rsid w:val="00BC474F"/>
    <w:rsid w:val="00BD1E92"/>
    <w:rsid w:val="00BD3909"/>
    <w:rsid w:val="00BD3970"/>
    <w:rsid w:val="00BD58F9"/>
    <w:rsid w:val="00BE0789"/>
    <w:rsid w:val="00BE1428"/>
    <w:rsid w:val="00BE3E20"/>
    <w:rsid w:val="00BE7843"/>
    <w:rsid w:val="00BE7974"/>
    <w:rsid w:val="00BF4992"/>
    <w:rsid w:val="00BF6886"/>
    <w:rsid w:val="00BF7DB1"/>
    <w:rsid w:val="00C00D38"/>
    <w:rsid w:val="00C05408"/>
    <w:rsid w:val="00C10E45"/>
    <w:rsid w:val="00C15D0E"/>
    <w:rsid w:val="00C174D5"/>
    <w:rsid w:val="00C17BF6"/>
    <w:rsid w:val="00C2434F"/>
    <w:rsid w:val="00C2619F"/>
    <w:rsid w:val="00C264E6"/>
    <w:rsid w:val="00C265E8"/>
    <w:rsid w:val="00C27286"/>
    <w:rsid w:val="00C276CE"/>
    <w:rsid w:val="00C3072D"/>
    <w:rsid w:val="00C31C92"/>
    <w:rsid w:val="00C32764"/>
    <w:rsid w:val="00C34086"/>
    <w:rsid w:val="00C34CE3"/>
    <w:rsid w:val="00C36509"/>
    <w:rsid w:val="00C3669F"/>
    <w:rsid w:val="00C40EC2"/>
    <w:rsid w:val="00C43850"/>
    <w:rsid w:val="00C45000"/>
    <w:rsid w:val="00C4515A"/>
    <w:rsid w:val="00C45EEF"/>
    <w:rsid w:val="00C50625"/>
    <w:rsid w:val="00C5356E"/>
    <w:rsid w:val="00C538C8"/>
    <w:rsid w:val="00C60E09"/>
    <w:rsid w:val="00C62C56"/>
    <w:rsid w:val="00C65EFC"/>
    <w:rsid w:val="00C7011C"/>
    <w:rsid w:val="00C728CA"/>
    <w:rsid w:val="00C74047"/>
    <w:rsid w:val="00C75D44"/>
    <w:rsid w:val="00C76327"/>
    <w:rsid w:val="00C83916"/>
    <w:rsid w:val="00C84A84"/>
    <w:rsid w:val="00C86E7E"/>
    <w:rsid w:val="00C875BC"/>
    <w:rsid w:val="00C90570"/>
    <w:rsid w:val="00C90A08"/>
    <w:rsid w:val="00C91C7B"/>
    <w:rsid w:val="00C9331E"/>
    <w:rsid w:val="00C93ABA"/>
    <w:rsid w:val="00C95EBA"/>
    <w:rsid w:val="00C963CD"/>
    <w:rsid w:val="00C97CCA"/>
    <w:rsid w:val="00CA2733"/>
    <w:rsid w:val="00CA6A50"/>
    <w:rsid w:val="00CA6FF9"/>
    <w:rsid w:val="00CB31A2"/>
    <w:rsid w:val="00CB4810"/>
    <w:rsid w:val="00CB48BA"/>
    <w:rsid w:val="00CC129C"/>
    <w:rsid w:val="00CC3301"/>
    <w:rsid w:val="00CC516F"/>
    <w:rsid w:val="00CC6E3B"/>
    <w:rsid w:val="00CC725D"/>
    <w:rsid w:val="00CD0611"/>
    <w:rsid w:val="00CD0A8B"/>
    <w:rsid w:val="00CD2DFB"/>
    <w:rsid w:val="00CD5E8F"/>
    <w:rsid w:val="00CD7BEB"/>
    <w:rsid w:val="00CE003C"/>
    <w:rsid w:val="00CE09F0"/>
    <w:rsid w:val="00CE2EB9"/>
    <w:rsid w:val="00CE5EBA"/>
    <w:rsid w:val="00CE6C1D"/>
    <w:rsid w:val="00CF15A6"/>
    <w:rsid w:val="00CF3E19"/>
    <w:rsid w:val="00D00EA7"/>
    <w:rsid w:val="00D02174"/>
    <w:rsid w:val="00D02CD0"/>
    <w:rsid w:val="00D06AD7"/>
    <w:rsid w:val="00D07E6F"/>
    <w:rsid w:val="00D10315"/>
    <w:rsid w:val="00D11325"/>
    <w:rsid w:val="00D12F3A"/>
    <w:rsid w:val="00D22868"/>
    <w:rsid w:val="00D2388F"/>
    <w:rsid w:val="00D242FF"/>
    <w:rsid w:val="00D24880"/>
    <w:rsid w:val="00D25F54"/>
    <w:rsid w:val="00D262C0"/>
    <w:rsid w:val="00D27370"/>
    <w:rsid w:val="00D27C63"/>
    <w:rsid w:val="00D31D68"/>
    <w:rsid w:val="00D33BA8"/>
    <w:rsid w:val="00D35AB7"/>
    <w:rsid w:val="00D37687"/>
    <w:rsid w:val="00D40469"/>
    <w:rsid w:val="00D40E9E"/>
    <w:rsid w:val="00D41C7C"/>
    <w:rsid w:val="00D4213C"/>
    <w:rsid w:val="00D438D4"/>
    <w:rsid w:val="00D45202"/>
    <w:rsid w:val="00D476F5"/>
    <w:rsid w:val="00D5200B"/>
    <w:rsid w:val="00D520D7"/>
    <w:rsid w:val="00D5235D"/>
    <w:rsid w:val="00D52BEF"/>
    <w:rsid w:val="00D52E59"/>
    <w:rsid w:val="00D53384"/>
    <w:rsid w:val="00D53A8E"/>
    <w:rsid w:val="00D56FDC"/>
    <w:rsid w:val="00D60D34"/>
    <w:rsid w:val="00D61BB7"/>
    <w:rsid w:val="00D65420"/>
    <w:rsid w:val="00D67ECC"/>
    <w:rsid w:val="00D72274"/>
    <w:rsid w:val="00D72C64"/>
    <w:rsid w:val="00D75D5E"/>
    <w:rsid w:val="00D805D2"/>
    <w:rsid w:val="00D81A47"/>
    <w:rsid w:val="00D81E2C"/>
    <w:rsid w:val="00D82727"/>
    <w:rsid w:val="00D87658"/>
    <w:rsid w:val="00D9325F"/>
    <w:rsid w:val="00D96779"/>
    <w:rsid w:val="00DA15B4"/>
    <w:rsid w:val="00DA2D32"/>
    <w:rsid w:val="00DA3617"/>
    <w:rsid w:val="00DA497C"/>
    <w:rsid w:val="00DA6DF0"/>
    <w:rsid w:val="00DA749A"/>
    <w:rsid w:val="00DB09DE"/>
    <w:rsid w:val="00DB5845"/>
    <w:rsid w:val="00DB7705"/>
    <w:rsid w:val="00DC4808"/>
    <w:rsid w:val="00DC488E"/>
    <w:rsid w:val="00DD36BE"/>
    <w:rsid w:val="00DD40E3"/>
    <w:rsid w:val="00DE0E38"/>
    <w:rsid w:val="00DE3F43"/>
    <w:rsid w:val="00DE55EC"/>
    <w:rsid w:val="00DF1BDE"/>
    <w:rsid w:val="00DF2658"/>
    <w:rsid w:val="00DF39C8"/>
    <w:rsid w:val="00DF6703"/>
    <w:rsid w:val="00E01E1C"/>
    <w:rsid w:val="00E03E0A"/>
    <w:rsid w:val="00E04684"/>
    <w:rsid w:val="00E0542C"/>
    <w:rsid w:val="00E06982"/>
    <w:rsid w:val="00E103E3"/>
    <w:rsid w:val="00E133F3"/>
    <w:rsid w:val="00E14937"/>
    <w:rsid w:val="00E15886"/>
    <w:rsid w:val="00E20D03"/>
    <w:rsid w:val="00E23FA6"/>
    <w:rsid w:val="00E26D64"/>
    <w:rsid w:val="00E345F8"/>
    <w:rsid w:val="00E429DE"/>
    <w:rsid w:val="00E43755"/>
    <w:rsid w:val="00E50AC9"/>
    <w:rsid w:val="00E5216A"/>
    <w:rsid w:val="00E52E70"/>
    <w:rsid w:val="00E5437B"/>
    <w:rsid w:val="00E57E14"/>
    <w:rsid w:val="00E606CF"/>
    <w:rsid w:val="00E6332E"/>
    <w:rsid w:val="00E65655"/>
    <w:rsid w:val="00E656BA"/>
    <w:rsid w:val="00E6627F"/>
    <w:rsid w:val="00E66790"/>
    <w:rsid w:val="00E67C2A"/>
    <w:rsid w:val="00E70459"/>
    <w:rsid w:val="00E70566"/>
    <w:rsid w:val="00E73C90"/>
    <w:rsid w:val="00E760DA"/>
    <w:rsid w:val="00E77039"/>
    <w:rsid w:val="00E84C8D"/>
    <w:rsid w:val="00E86D16"/>
    <w:rsid w:val="00E90ED6"/>
    <w:rsid w:val="00E9460B"/>
    <w:rsid w:val="00E952AE"/>
    <w:rsid w:val="00E97502"/>
    <w:rsid w:val="00EA04A8"/>
    <w:rsid w:val="00EA2A75"/>
    <w:rsid w:val="00EA3BA3"/>
    <w:rsid w:val="00EA3D00"/>
    <w:rsid w:val="00EA653E"/>
    <w:rsid w:val="00EA7B06"/>
    <w:rsid w:val="00EB09CF"/>
    <w:rsid w:val="00EB40DB"/>
    <w:rsid w:val="00EB5631"/>
    <w:rsid w:val="00EC050B"/>
    <w:rsid w:val="00EC0B53"/>
    <w:rsid w:val="00EC1B4D"/>
    <w:rsid w:val="00EC1CC2"/>
    <w:rsid w:val="00EC35C8"/>
    <w:rsid w:val="00EC46C6"/>
    <w:rsid w:val="00EC6C88"/>
    <w:rsid w:val="00ED071B"/>
    <w:rsid w:val="00ED0DA4"/>
    <w:rsid w:val="00ED2BAE"/>
    <w:rsid w:val="00ED53F5"/>
    <w:rsid w:val="00ED6B48"/>
    <w:rsid w:val="00ED7F3A"/>
    <w:rsid w:val="00EE79B3"/>
    <w:rsid w:val="00EF17B2"/>
    <w:rsid w:val="00EF23FD"/>
    <w:rsid w:val="00EF2909"/>
    <w:rsid w:val="00EF7B7F"/>
    <w:rsid w:val="00EF7C6D"/>
    <w:rsid w:val="00F00D09"/>
    <w:rsid w:val="00F00E43"/>
    <w:rsid w:val="00F02C4F"/>
    <w:rsid w:val="00F04CD1"/>
    <w:rsid w:val="00F058AF"/>
    <w:rsid w:val="00F06B23"/>
    <w:rsid w:val="00F12254"/>
    <w:rsid w:val="00F15C7E"/>
    <w:rsid w:val="00F165DB"/>
    <w:rsid w:val="00F17DCE"/>
    <w:rsid w:val="00F2135D"/>
    <w:rsid w:val="00F219B4"/>
    <w:rsid w:val="00F32E21"/>
    <w:rsid w:val="00F35A2F"/>
    <w:rsid w:val="00F400A7"/>
    <w:rsid w:val="00F4019E"/>
    <w:rsid w:val="00F41918"/>
    <w:rsid w:val="00F426B7"/>
    <w:rsid w:val="00F427A8"/>
    <w:rsid w:val="00F44A4D"/>
    <w:rsid w:val="00F47A06"/>
    <w:rsid w:val="00F50AC2"/>
    <w:rsid w:val="00F52FB6"/>
    <w:rsid w:val="00F533A9"/>
    <w:rsid w:val="00F5528E"/>
    <w:rsid w:val="00F55980"/>
    <w:rsid w:val="00F61138"/>
    <w:rsid w:val="00F62B77"/>
    <w:rsid w:val="00F71F24"/>
    <w:rsid w:val="00F71FB8"/>
    <w:rsid w:val="00F7221C"/>
    <w:rsid w:val="00F7761B"/>
    <w:rsid w:val="00F77A56"/>
    <w:rsid w:val="00F838A1"/>
    <w:rsid w:val="00F84A0B"/>
    <w:rsid w:val="00F852C1"/>
    <w:rsid w:val="00F861B2"/>
    <w:rsid w:val="00F91AB7"/>
    <w:rsid w:val="00F947B3"/>
    <w:rsid w:val="00F94848"/>
    <w:rsid w:val="00F96B59"/>
    <w:rsid w:val="00FA0018"/>
    <w:rsid w:val="00FA0298"/>
    <w:rsid w:val="00FA311F"/>
    <w:rsid w:val="00FA3510"/>
    <w:rsid w:val="00FA46BF"/>
    <w:rsid w:val="00FA57DA"/>
    <w:rsid w:val="00FA7848"/>
    <w:rsid w:val="00FA7D3E"/>
    <w:rsid w:val="00FB0846"/>
    <w:rsid w:val="00FB6AE7"/>
    <w:rsid w:val="00FB6E52"/>
    <w:rsid w:val="00FC0660"/>
    <w:rsid w:val="00FC1721"/>
    <w:rsid w:val="00FC54A1"/>
    <w:rsid w:val="00FC54D4"/>
    <w:rsid w:val="00FC651F"/>
    <w:rsid w:val="00FC7F27"/>
    <w:rsid w:val="00FD15B1"/>
    <w:rsid w:val="00FD44A8"/>
    <w:rsid w:val="00FE25F2"/>
    <w:rsid w:val="00FE3E8F"/>
    <w:rsid w:val="00FE7380"/>
    <w:rsid w:val="00FF32D1"/>
    <w:rsid w:val="00FF5D72"/>
    <w:rsid w:val="00FF6657"/>
    <w:rsid w:val="4DB672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qFormat="1" w:unhideWhenUsed="0" w:uiPriority="0" w:semiHidden="0" w:name="Body Text 2"/>
    <w:lsdException w:uiPriority="0" w:name="Body Text 3"/>
    <w:lsdException w:unhideWhenUsed="0" w:uiPriority="0" w:semiHidden="0" w:name="Body Text Indent 2"/>
    <w:lsdException w:unhideWhenUsed="0" w:uiPriority="0" w:semiHidden="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unhideWhenUsed="0" w:uiPriority="0" w:name="Document Map"/>
    <w:lsdException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5"/>
    <w:qFormat/>
    <w:uiPriority w:val="0"/>
    <w:pPr>
      <w:keepNext/>
      <w:keepLines/>
      <w:spacing w:before="260" w:after="200" w:line="415" w:lineRule="auto"/>
      <w:outlineLvl w:val="2"/>
    </w:pPr>
    <w:rPr>
      <w:b/>
      <w:sz w:val="30"/>
      <w:szCs w:val="20"/>
    </w:rPr>
  </w:style>
  <w:style w:type="paragraph" w:styleId="6">
    <w:name w:val="heading 4"/>
    <w:basedOn w:val="1"/>
    <w:next w:val="1"/>
    <w:link w:val="41"/>
    <w:semiHidden/>
    <w:unhideWhenUsed/>
    <w:qFormat/>
    <w:uiPriority w:val="0"/>
    <w:pPr>
      <w:keepNext/>
      <w:keepLines/>
      <w:spacing w:before="280" w:after="290" w:line="376" w:lineRule="auto"/>
      <w:outlineLvl w:val="3"/>
    </w:pPr>
    <w:rPr>
      <w:rFonts w:ascii="等线 Light" w:hAnsi="等线 Light" w:eastAsia="等线 Light"/>
      <w:b/>
      <w:bCs/>
      <w:sz w:val="28"/>
      <w:szCs w:val="28"/>
    </w:rPr>
  </w:style>
  <w:style w:type="character" w:default="1" w:styleId="23">
    <w:name w:val="Default Paragraph Font"/>
    <w:semiHidden/>
    <w:unhideWhenUsed/>
    <w:qFormat/>
    <w:uiPriority w:val="1"/>
  </w:style>
  <w:style w:type="table" w:default="1" w:styleId="21">
    <w:name w:val="Normal Table"/>
    <w:semiHidden/>
    <w:unhideWhenUsed/>
    <w:uiPriority w:val="99"/>
    <w:tblPr>
      <w:tblCellMar>
        <w:top w:w="0" w:type="dxa"/>
        <w:left w:w="108" w:type="dxa"/>
        <w:bottom w:w="0" w:type="dxa"/>
        <w:right w:w="108" w:type="dxa"/>
      </w:tblCellMar>
    </w:tblPr>
  </w:style>
  <w:style w:type="paragraph" w:styleId="5">
    <w:name w:val="Normal Indent"/>
    <w:basedOn w:val="1"/>
    <w:qFormat/>
    <w:uiPriority w:val="0"/>
    <w:pPr>
      <w:ind w:firstLine="420" w:firstLineChars="200"/>
    </w:pPr>
  </w:style>
  <w:style w:type="paragraph" w:styleId="7">
    <w:name w:val="Document Map"/>
    <w:basedOn w:val="1"/>
    <w:semiHidden/>
    <w:uiPriority w:val="0"/>
    <w:pPr>
      <w:shd w:val="clear" w:color="auto" w:fill="000080"/>
    </w:pPr>
  </w:style>
  <w:style w:type="paragraph" w:styleId="8">
    <w:name w:val="Body Text"/>
    <w:basedOn w:val="1"/>
    <w:qFormat/>
    <w:uiPriority w:val="0"/>
    <w:pPr>
      <w:spacing w:after="120"/>
    </w:pPr>
  </w:style>
  <w:style w:type="paragraph" w:styleId="9">
    <w:name w:val="Body Text Indent"/>
    <w:basedOn w:val="1"/>
    <w:qFormat/>
    <w:uiPriority w:val="0"/>
    <w:pPr>
      <w:ind w:firstLine="420" w:firstLineChars="200"/>
    </w:pPr>
  </w:style>
  <w:style w:type="paragraph" w:styleId="10">
    <w:name w:val="toc 3"/>
    <w:basedOn w:val="1"/>
    <w:next w:val="1"/>
    <w:autoRedefine/>
    <w:qFormat/>
    <w:uiPriority w:val="39"/>
    <w:pPr>
      <w:ind w:left="840" w:leftChars="400"/>
    </w:pPr>
  </w:style>
  <w:style w:type="paragraph" w:styleId="11">
    <w:name w:val="Plain Text"/>
    <w:basedOn w:val="1"/>
    <w:uiPriority w:val="0"/>
    <w:pPr>
      <w:spacing w:line="440" w:lineRule="exact"/>
    </w:pPr>
    <w:rPr>
      <w:rFonts w:ascii="宋体" w:hAnsi="Courier New"/>
      <w:szCs w:val="20"/>
    </w:rPr>
  </w:style>
  <w:style w:type="paragraph" w:styleId="12">
    <w:name w:val="Body Text Indent 2"/>
    <w:basedOn w:val="1"/>
    <w:uiPriority w:val="0"/>
    <w:pPr>
      <w:ind w:firstLine="425"/>
    </w:pPr>
    <w:rPr>
      <w:sz w:val="24"/>
      <w:szCs w:val="20"/>
    </w:rPr>
  </w:style>
  <w:style w:type="paragraph" w:styleId="13">
    <w:name w:val="Balloon Text"/>
    <w:basedOn w:val="1"/>
    <w:semiHidden/>
    <w:qFormat/>
    <w:uiPriority w:val="0"/>
    <w:rPr>
      <w:sz w:val="18"/>
      <w:szCs w:val="18"/>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autoRedefine/>
    <w:qFormat/>
    <w:uiPriority w:val="39"/>
  </w:style>
  <w:style w:type="paragraph" w:styleId="17">
    <w:name w:val="Body Text Indent 3"/>
    <w:basedOn w:val="1"/>
    <w:uiPriority w:val="0"/>
    <w:pPr>
      <w:ind w:firstLine="570"/>
    </w:pPr>
    <w:rPr>
      <w:rFonts w:ascii="宋体" w:hAnsi="宋体"/>
      <w:sz w:val="28"/>
    </w:rPr>
  </w:style>
  <w:style w:type="paragraph" w:styleId="18">
    <w:name w:val="toc 2"/>
    <w:basedOn w:val="1"/>
    <w:next w:val="1"/>
    <w:autoRedefine/>
    <w:qFormat/>
    <w:uiPriority w:val="39"/>
    <w:pPr>
      <w:ind w:left="420" w:leftChars="200"/>
    </w:pPr>
  </w:style>
  <w:style w:type="paragraph" w:styleId="19">
    <w:name w:val="Body Text 2"/>
    <w:basedOn w:val="1"/>
    <w:qFormat/>
    <w:uiPriority w:val="0"/>
    <w:rPr>
      <w:sz w:val="24"/>
      <w:szCs w:val="20"/>
    </w:rPr>
  </w:style>
  <w:style w:type="paragraph" w:styleId="20">
    <w:name w:val="Normal (Web)"/>
    <w:basedOn w:val="1"/>
    <w:qFormat/>
    <w:uiPriority w:val="99"/>
    <w:pPr>
      <w:widowControl/>
      <w:spacing w:before="100" w:beforeAutospacing="1" w:after="100" w:afterAutospacing="1" w:line="300" w:lineRule="atLeast"/>
      <w:jc w:val="left"/>
    </w:pPr>
    <w:rPr>
      <w:rFonts w:ascii="宋体" w:hAnsi="宋体"/>
      <w:kern w:val="0"/>
      <w:sz w:val="18"/>
      <w:szCs w:val="18"/>
    </w:rPr>
  </w:style>
  <w:style w:type="table" w:styleId="22">
    <w:name w:val="Table Grid"/>
    <w:basedOn w:val="21"/>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page number"/>
    <w:basedOn w:val="23"/>
    <w:qFormat/>
    <w:uiPriority w:val="0"/>
  </w:style>
  <w:style w:type="character" w:styleId="25">
    <w:name w:val="Hyperlink"/>
    <w:qFormat/>
    <w:uiPriority w:val="99"/>
    <w:rPr>
      <w:color w:val="0000FF"/>
      <w:u w:val="single"/>
    </w:rPr>
  </w:style>
  <w:style w:type="paragraph" w:customStyle="1" w:styleId="26">
    <w:name w:val="Char"/>
    <w:basedOn w:val="1"/>
    <w:qFormat/>
    <w:uiPriority w:val="0"/>
    <w:pPr>
      <w:widowControl/>
      <w:spacing w:after="160" w:line="240" w:lineRule="exact"/>
      <w:jc w:val="left"/>
    </w:pPr>
  </w:style>
  <w:style w:type="paragraph" w:customStyle="1" w:styleId="27">
    <w:name w:val="表格文字"/>
    <w:basedOn w:val="1"/>
    <w:next w:val="8"/>
    <w:qFormat/>
    <w:uiPriority w:val="0"/>
    <w:pPr>
      <w:jc w:val="center"/>
    </w:pPr>
    <w:rPr>
      <w:szCs w:val="20"/>
    </w:rPr>
  </w:style>
  <w:style w:type="paragraph" w:customStyle="1" w:styleId="28">
    <w:name w:val="修改111"/>
    <w:basedOn w:val="11"/>
    <w:qFormat/>
    <w:uiPriority w:val="0"/>
    <w:pPr>
      <w:widowControl/>
      <w:spacing w:line="600" w:lineRule="exact"/>
      <w:ind w:firstLine="560" w:firstLineChars="200"/>
      <w:jc w:val="left"/>
    </w:pPr>
    <w:rPr>
      <w:rFonts w:hAnsi="宋体"/>
      <w:kern w:val="4"/>
      <w:sz w:val="28"/>
      <w:szCs w:val="28"/>
    </w:rPr>
  </w:style>
  <w:style w:type="paragraph" w:customStyle="1" w:styleId="29">
    <w:name w:val="表格"/>
    <w:basedOn w:val="1"/>
    <w:qFormat/>
    <w:uiPriority w:val="0"/>
    <w:pPr>
      <w:widowControl/>
      <w:jc w:val="left"/>
    </w:pPr>
    <w:rPr>
      <w:rFonts w:ascii="宋体" w:hAnsi="宋体"/>
      <w:kern w:val="4"/>
      <w:szCs w:val="28"/>
    </w:rPr>
  </w:style>
  <w:style w:type="paragraph" w:customStyle="1" w:styleId="30">
    <w:name w:val="样式 标题 2 + (西文) Times New Roman (中文) 宋体 小四 段前: 0 磅 段后: 0 磅 行...1"/>
    <w:basedOn w:val="3"/>
    <w:qFormat/>
    <w:uiPriority w:val="0"/>
    <w:pPr>
      <w:spacing w:before="0" w:after="0" w:line="490" w:lineRule="exact"/>
      <w:ind w:firstLine="472" w:firstLineChars="196"/>
    </w:pPr>
    <w:rPr>
      <w:rFonts w:ascii="Times New Roman" w:hAnsi="Times New Roman" w:cs="宋体"/>
      <w:b w:val="0"/>
      <w:sz w:val="24"/>
      <w:szCs w:val="20"/>
    </w:rPr>
  </w:style>
  <w:style w:type="paragraph" w:customStyle="1" w:styleId="31">
    <w:name w:val="样式3"/>
    <w:basedOn w:val="1"/>
    <w:qFormat/>
    <w:uiPriority w:val="0"/>
    <w:pPr>
      <w:ind w:firstLine="560"/>
    </w:pPr>
    <w:rPr>
      <w:sz w:val="28"/>
      <w:szCs w:val="20"/>
    </w:rPr>
  </w:style>
  <w:style w:type="paragraph" w:customStyle="1" w:styleId="32">
    <w:name w:val="修改1"/>
    <w:basedOn w:val="1"/>
    <w:qFormat/>
    <w:uiPriority w:val="0"/>
    <w:pPr>
      <w:spacing w:line="600" w:lineRule="exact"/>
      <w:ind w:firstLine="538" w:firstLineChars="192"/>
    </w:pPr>
    <w:rPr>
      <w:rFonts w:ascii="宋体" w:hAnsi="宋体"/>
      <w:sz w:val="28"/>
      <w:szCs w:val="28"/>
    </w:rPr>
  </w:style>
  <w:style w:type="paragraph" w:customStyle="1" w:styleId="33">
    <w:name w:val="修改 Char"/>
    <w:basedOn w:val="1"/>
    <w:link w:val="34"/>
    <w:qFormat/>
    <w:uiPriority w:val="0"/>
    <w:pPr>
      <w:spacing w:line="600" w:lineRule="exact"/>
      <w:ind w:firstLine="200" w:firstLineChars="200"/>
      <w:jc w:val="left"/>
    </w:pPr>
    <w:rPr>
      <w:rFonts w:ascii="宋体" w:hAnsi="宋体"/>
      <w:sz w:val="28"/>
      <w:szCs w:val="28"/>
    </w:rPr>
  </w:style>
  <w:style w:type="character" w:customStyle="1" w:styleId="34">
    <w:name w:val="修改 Char Char"/>
    <w:link w:val="33"/>
    <w:qFormat/>
    <w:uiPriority w:val="0"/>
    <w:rPr>
      <w:rFonts w:ascii="宋体" w:hAnsi="宋体" w:eastAsia="宋体"/>
      <w:kern w:val="2"/>
      <w:sz w:val="28"/>
      <w:szCs w:val="28"/>
      <w:lang w:val="en-US" w:eastAsia="zh-CN" w:bidi="ar-SA"/>
    </w:rPr>
  </w:style>
  <w:style w:type="paragraph" w:customStyle="1" w:styleId="35">
    <w:name w:val="修改"/>
    <w:basedOn w:val="1"/>
    <w:qFormat/>
    <w:uiPriority w:val="0"/>
    <w:pPr>
      <w:spacing w:line="600" w:lineRule="exact"/>
      <w:ind w:firstLine="540"/>
    </w:pPr>
    <w:rPr>
      <w:rFonts w:ascii="幼圆" w:hAnsi="宋体" w:eastAsia="幼圆"/>
      <w:sz w:val="28"/>
      <w:szCs w:val="28"/>
    </w:rPr>
  </w:style>
  <w:style w:type="paragraph" w:customStyle="1" w:styleId="36">
    <w:name w:val="修改12"/>
    <w:basedOn w:val="1"/>
    <w:qFormat/>
    <w:uiPriority w:val="0"/>
    <w:pPr>
      <w:spacing w:line="590" w:lineRule="exact"/>
      <w:ind w:firstLine="560" w:firstLineChars="200"/>
    </w:pPr>
    <w:rPr>
      <w:rFonts w:ascii="宋体" w:hAnsi="宋体"/>
      <w:sz w:val="28"/>
      <w:szCs w:val="28"/>
    </w:rPr>
  </w:style>
  <w:style w:type="paragraph" w:customStyle="1" w:styleId="37">
    <w:name w:val="正文1"/>
    <w:basedOn w:val="1"/>
    <w:link w:val="49"/>
    <w:qFormat/>
    <w:uiPriority w:val="0"/>
    <w:pPr>
      <w:spacing w:line="520" w:lineRule="exact"/>
      <w:ind w:firstLine="200" w:firstLineChars="200"/>
    </w:pPr>
    <w:rPr>
      <w:rFonts w:ascii="宋体" w:hAnsi="宋体"/>
      <w:sz w:val="24"/>
    </w:rPr>
  </w:style>
  <w:style w:type="paragraph" w:customStyle="1" w:styleId="38">
    <w:name w:val="样式 标题 3 + 段前: 1 行2"/>
    <w:basedOn w:val="6"/>
    <w:qFormat/>
    <w:uiPriority w:val="0"/>
    <w:pPr>
      <w:widowControl/>
      <w:spacing w:beforeLines="50" w:afterLines="50" w:line="420" w:lineRule="exact"/>
      <w:outlineLvl w:val="2"/>
    </w:pPr>
    <w:rPr>
      <w:rFonts w:ascii="Arial" w:hAnsi="Arial" w:eastAsia="黑体"/>
      <w:b w:val="0"/>
      <w:bCs w:val="0"/>
      <w:kern w:val="0"/>
    </w:rPr>
  </w:style>
  <w:style w:type="paragraph" w:customStyle="1" w:styleId="39">
    <w:name w:val="修改16.7"/>
    <w:basedOn w:val="1"/>
    <w:qFormat/>
    <w:uiPriority w:val="0"/>
    <w:pPr>
      <w:spacing w:line="600" w:lineRule="exact"/>
      <w:ind w:firstLine="560" w:firstLineChars="200"/>
    </w:pPr>
    <w:rPr>
      <w:rFonts w:hAnsi="仿宋" w:eastAsia="仿宋"/>
      <w:sz w:val="28"/>
      <w:szCs w:val="28"/>
    </w:rPr>
  </w:style>
  <w:style w:type="paragraph" w:customStyle="1" w:styleId="40">
    <w:name w:val="样式 样式 样式 文本条目sj + 段后: 0.5 行 + 段后: 0.5 行 + 段后: 0.5 行"/>
    <w:basedOn w:val="1"/>
    <w:link w:val="46"/>
    <w:qFormat/>
    <w:uiPriority w:val="0"/>
    <w:pPr>
      <w:numPr>
        <w:ilvl w:val="0"/>
        <w:numId w:val="1"/>
      </w:numPr>
      <w:tabs>
        <w:tab w:val="left" w:pos="680"/>
        <w:tab w:val="left" w:pos="936"/>
      </w:tabs>
      <w:spacing w:afterLines="50" w:line="360" w:lineRule="auto"/>
      <w:ind w:left="936" w:hanging="360"/>
    </w:pPr>
    <w:rPr>
      <w:sz w:val="24"/>
      <w:szCs w:val="22"/>
    </w:rPr>
  </w:style>
  <w:style w:type="character" w:customStyle="1" w:styleId="41">
    <w:name w:val="标题 4 字符"/>
    <w:link w:val="6"/>
    <w:semiHidden/>
    <w:qFormat/>
    <w:uiPriority w:val="0"/>
    <w:rPr>
      <w:rFonts w:ascii="等线 Light" w:hAnsi="等线 Light" w:eastAsia="等线 Light" w:cs="Times New Roman"/>
      <w:b/>
      <w:bCs/>
      <w:kern w:val="2"/>
      <w:sz w:val="28"/>
      <w:szCs w:val="28"/>
    </w:rPr>
  </w:style>
  <w:style w:type="paragraph" w:customStyle="1" w:styleId="42">
    <w:name w:val="表格标题"/>
    <w:basedOn w:val="1"/>
    <w:qFormat/>
    <w:uiPriority w:val="0"/>
    <w:pPr>
      <w:spacing w:line="360" w:lineRule="auto"/>
      <w:jc w:val="center"/>
    </w:pPr>
    <w:rPr>
      <w:b/>
    </w:rPr>
  </w:style>
  <w:style w:type="paragraph" w:styleId="43">
    <w:name w:val="List Paragraph"/>
    <w:basedOn w:val="1"/>
    <w:qFormat/>
    <w:uiPriority w:val="34"/>
    <w:pPr>
      <w:ind w:firstLine="420" w:firstLineChars="200"/>
    </w:pPr>
  </w:style>
  <w:style w:type="paragraph" w:customStyle="1" w:styleId="44">
    <w:name w:val="标准段落"/>
    <w:basedOn w:val="1"/>
    <w:link w:val="45"/>
    <w:qFormat/>
    <w:uiPriority w:val="0"/>
    <w:pPr>
      <w:ind w:firstLine="560" w:firstLineChars="200"/>
    </w:pPr>
    <w:rPr>
      <w:rFonts w:ascii="宋体" w:hAnsi="宋体"/>
      <w:sz w:val="28"/>
      <w:szCs w:val="28"/>
    </w:rPr>
  </w:style>
  <w:style w:type="character" w:customStyle="1" w:styleId="45">
    <w:name w:val="标准段落 Char"/>
    <w:link w:val="44"/>
    <w:qFormat/>
    <w:uiPriority w:val="0"/>
    <w:rPr>
      <w:rFonts w:ascii="宋体" w:hAnsi="宋体"/>
      <w:kern w:val="2"/>
      <w:sz w:val="28"/>
      <w:szCs w:val="28"/>
    </w:rPr>
  </w:style>
  <w:style w:type="character" w:customStyle="1" w:styleId="46">
    <w:name w:val="样式 样式 样式 文本条目sj + 段后: 0.5 行 + 段后: 0.5 行 + 段后: 0.5 行 Char Char"/>
    <w:link w:val="40"/>
    <w:qFormat/>
    <w:uiPriority w:val="0"/>
    <w:rPr>
      <w:kern w:val="2"/>
      <w:sz w:val="24"/>
      <w:szCs w:val="22"/>
    </w:rPr>
  </w:style>
  <w:style w:type="paragraph" w:customStyle="1" w:styleId="47">
    <w:name w:val="1111修改"/>
    <w:basedOn w:val="37"/>
    <w:link w:val="50"/>
    <w:qFormat/>
    <w:uiPriority w:val="0"/>
    <w:pPr>
      <w:spacing w:line="590" w:lineRule="exact"/>
      <w:ind w:firstLine="560"/>
    </w:pPr>
    <w:rPr>
      <w:color w:val="000000"/>
      <w:sz w:val="28"/>
      <w:szCs w:val="28"/>
    </w:rPr>
  </w:style>
  <w:style w:type="paragraph" w:customStyle="1" w:styleId="48">
    <w:name w:val="111表格"/>
    <w:basedOn w:val="1"/>
    <w:link w:val="51"/>
    <w:qFormat/>
    <w:uiPriority w:val="0"/>
    <w:pPr>
      <w:jc w:val="center"/>
    </w:pPr>
    <w:rPr>
      <w:rFonts w:ascii="宋体" w:hAnsi="宋体"/>
      <w:szCs w:val="28"/>
    </w:rPr>
  </w:style>
  <w:style w:type="character" w:customStyle="1" w:styleId="49">
    <w:name w:val="正文1 字符"/>
    <w:link w:val="37"/>
    <w:qFormat/>
    <w:uiPriority w:val="0"/>
    <w:rPr>
      <w:rFonts w:ascii="宋体" w:hAnsi="宋体"/>
      <w:kern w:val="2"/>
      <w:sz w:val="24"/>
      <w:szCs w:val="24"/>
    </w:rPr>
  </w:style>
  <w:style w:type="character" w:customStyle="1" w:styleId="50">
    <w:name w:val="1111修改 字符"/>
    <w:link w:val="47"/>
    <w:qFormat/>
    <w:uiPriority w:val="0"/>
    <w:rPr>
      <w:rFonts w:ascii="宋体" w:hAnsi="宋体"/>
      <w:color w:val="000000"/>
      <w:kern w:val="2"/>
      <w:sz w:val="28"/>
      <w:szCs w:val="28"/>
    </w:rPr>
  </w:style>
  <w:style w:type="character" w:customStyle="1" w:styleId="51">
    <w:name w:val="111表格 字符"/>
    <w:link w:val="48"/>
    <w:qFormat/>
    <w:uiPriority w:val="0"/>
    <w:rPr>
      <w:rFonts w:ascii="宋体" w:hAnsi="宋体"/>
      <w:kern w:val="2"/>
      <w:sz w:val="21"/>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5" Type="http://schemas.openxmlformats.org/officeDocument/2006/relationships/fontTable" Target="fontTable.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4.emf"/><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wmf"/><Relationship Id="rId28" Type="http://schemas.openxmlformats.org/officeDocument/2006/relationships/oleObject" Target="embeddings/oleObject1.bin"/><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Info spid="_x0000_s127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8769BB4-D042-4585-8666-92A2ACA0CEC6}">
  <ds:schemaRefs/>
</ds:datastoreItem>
</file>

<file path=docProps/app.xml><?xml version="1.0" encoding="utf-8"?>
<Properties xmlns="http://schemas.openxmlformats.org/officeDocument/2006/extended-properties" xmlns:vt="http://schemas.openxmlformats.org/officeDocument/2006/docPropsVTypes">
  <Template>Normal.dotm</Template>
  <Company>AAA</Company>
  <Pages>59</Pages>
  <Words>1617</Words>
  <Characters>1846</Characters>
  <Lines>444</Lines>
  <Paragraphs>125</Paragraphs>
  <TotalTime>343</TotalTime>
  <ScaleCrop>false</ScaleCrop>
  <LinksUpToDate>false</LinksUpToDate>
  <CharactersWithSpaces>1860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2018-09-19T11:56:00Z</dcterms:created>
  <dc:creator>AAA</dc:creator>
  <cp:lastModifiedBy>摄鬼波波</cp:lastModifiedBy>
  <cp:lastPrinted>2018-06-20T04:20:00Z</cp:lastPrinted>
  <dcterms:modified xsi:type="dcterms:W3CDTF">2026-03-02T07:01:39Z</dcterms:modified>
  <dc:title>朔州公交规划说明书</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eyJoZGlkIjoiMGZlNzU1NDAyMWExZTFjNjQxOThkMGQ0YmQ2OTMwZGMiLCJ1c2VySWQiOiIyMTIwOTUyIn0=</vt:lpwstr>
  </property>
  <property fmtid="{D5CDD505-2E9C-101B-9397-08002B2CF9AE}" pid="3" name="KSOProductBuildVer">
    <vt:lpwstr>2052-12.1.0.24657</vt:lpwstr>
  </property>
  <property fmtid="{D5CDD505-2E9C-101B-9397-08002B2CF9AE}" pid="4" name="ICV">
    <vt:lpwstr>CAE19C6450064107B02DBF96BE782AC7_12</vt:lpwstr>
  </property>
</Properties>
</file>